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D43FF" w14:textId="30B78FD6" w:rsidR="003261EC" w:rsidRDefault="003261EC">
      <w:pPr>
        <w:spacing w:before="240" w:after="120"/>
        <w:rPr>
          <w:b/>
          <w:bCs/>
          <w:color w:val="222222"/>
        </w:rPr>
      </w:pPr>
      <w:r w:rsidRPr="003261EC">
        <w:rPr>
          <w:b/>
          <w:bCs/>
          <w:color w:val="222222"/>
        </w:rPr>
        <w:t>Best Practices for Reducing Attrition in Longitudinal Studies of Aging</w:t>
      </w:r>
    </w:p>
    <w:p w14:paraId="38E9E7B3" w14:textId="20F42B1A" w:rsidR="00855DE4" w:rsidRDefault="00855DE4">
      <w:pPr>
        <w:spacing w:before="240" w:after="120"/>
        <w:rPr>
          <w:b/>
          <w:bCs/>
          <w:color w:val="222222"/>
        </w:rPr>
      </w:pPr>
      <w:r>
        <w:rPr>
          <w:b/>
          <w:bCs/>
          <w:color w:val="222222"/>
        </w:rPr>
        <w:t>James Wagner, Eva Leissou, Michael Bergmann, Ting Yan, Megan Augustyn, Jürgen Maurer</w:t>
      </w:r>
      <w:r w:rsidR="00B33A65">
        <w:rPr>
          <w:b/>
          <w:bCs/>
          <w:color w:val="222222"/>
        </w:rPr>
        <w:t xml:space="preserve">, </w:t>
      </w:r>
      <w:r w:rsidR="004638EF">
        <w:rPr>
          <w:b/>
          <w:bCs/>
          <w:color w:val="222222"/>
        </w:rPr>
        <w:t xml:space="preserve">and </w:t>
      </w:r>
      <w:r w:rsidR="00B33A65">
        <w:rPr>
          <w:b/>
          <w:bCs/>
          <w:color w:val="222222"/>
        </w:rPr>
        <w:t>Bob Hummer</w:t>
      </w:r>
    </w:p>
    <w:p w14:paraId="33440004" w14:textId="05C11D4A" w:rsidR="00C9315D" w:rsidRDefault="003261EC">
      <w:pPr>
        <w:spacing w:before="240" w:after="120"/>
        <w:rPr>
          <w:b/>
          <w:bCs/>
          <w:color w:val="222222"/>
        </w:rPr>
      </w:pPr>
      <w:r>
        <w:rPr>
          <w:b/>
          <w:bCs/>
          <w:color w:val="222222"/>
        </w:rPr>
        <w:t>1. Introduction</w:t>
      </w:r>
    </w:p>
    <w:p w14:paraId="52C1616C" w14:textId="77777777" w:rsidR="00C9315D" w:rsidRDefault="003261EC">
      <w:pPr>
        <w:spacing w:before="240" w:after="120"/>
        <w:rPr>
          <w:color w:val="222222"/>
        </w:rPr>
      </w:pPr>
      <w:r>
        <w:rPr>
          <w:color w:val="222222"/>
        </w:rPr>
        <w:t xml:space="preserve">This paper is a review of survey design factors that are related to attrition in longitudinal studies of aging. </w:t>
      </w:r>
      <w:r>
        <w:rPr>
          <w:b/>
          <w:bCs/>
          <w:color w:val="222222"/>
        </w:rPr>
        <w:t xml:space="preserve">Attrition </w:t>
      </w:r>
      <w:r>
        <w:rPr>
          <w:color w:val="222222"/>
        </w:rPr>
        <w:t>is the loss of panel participants after initial recruitment to the study. Longitudinal studies have long been a prominent form of data collection due to their ability to better assess causality compared with cross-sectional studies, and they are a cornerstone of aging studies given their strength of repeatedly assessing the social, economic, behavioral, and health characteristics of individuals across the life course. Notable historical examples include the Terman Study of the Gifted</w:t>
      </w:r>
      <w:r>
        <w:rPr>
          <w:color w:val="222222"/>
          <w:vertAlign w:val="superscript"/>
        </w:rPr>
        <w:footnoteReference w:id="1"/>
      </w:r>
      <w:r>
        <w:rPr>
          <w:color w:val="222222"/>
        </w:rPr>
        <w:t xml:space="preserve"> (started 1921), the Glueck Study</w:t>
      </w:r>
      <w:r>
        <w:rPr>
          <w:color w:val="222222"/>
          <w:vertAlign w:val="superscript"/>
        </w:rPr>
        <w:footnoteReference w:id="2"/>
      </w:r>
      <w:r>
        <w:rPr>
          <w:color w:val="222222"/>
        </w:rPr>
        <w:t xml:space="preserve"> (started in 1940), and the Framingham Heart Study</w:t>
      </w:r>
      <w:r>
        <w:rPr>
          <w:color w:val="222222"/>
          <w:vertAlign w:val="superscript"/>
        </w:rPr>
        <w:footnoteReference w:id="3"/>
      </w:r>
      <w:r>
        <w:rPr>
          <w:color w:val="222222"/>
        </w:rPr>
        <w:t xml:space="preserve"> (started 1948). </w:t>
      </w:r>
    </w:p>
    <w:p w14:paraId="5FC344C3" w14:textId="77777777" w:rsidR="00C9315D" w:rsidRDefault="003261EC">
      <w:pPr>
        <w:spacing w:before="240" w:after="120"/>
        <w:rPr>
          <w:color w:val="222222"/>
        </w:rPr>
      </w:pPr>
      <w:r>
        <w:rPr>
          <w:color w:val="222222"/>
        </w:rPr>
        <w:t>However, the validity of any estimates of relationships derived from longitudinal studies depends on the extent to which the sample remains representative of the initial sample or study population over time. In any longitudinal study, it is almost a certainty that some participants will drop out from the study. Thus, concerns relating to attrition, or the loss of study participants, are not new. Scholarly attention has been devoted to this very topic since the 1960s (e.g. Riegel et al., 1967). If attrition from the sample is random, then concern regarding the validity of estimates is not a problem. Even so, attrition can lead to a significant reduction in the number of cases available for analysis and associated statistical power needed to identify effects. However, if attrition from the study is not random, issues associated with validity emerge.</w:t>
      </w:r>
    </w:p>
    <w:p w14:paraId="6131CACC" w14:textId="77777777" w:rsidR="00C9315D" w:rsidRDefault="003261EC">
      <w:pPr>
        <w:spacing w:before="240" w:after="120"/>
        <w:rPr>
          <w:color w:val="222222"/>
        </w:rPr>
      </w:pPr>
      <w:r>
        <w:rPr>
          <w:color w:val="222222"/>
        </w:rPr>
        <w:t xml:space="preserve">Attrition in longitudinal studies can take various forms. Participants can be lost due mobility and an inability to find updated contact information. They can also be lost when the contact information is/appears to be up-to-date, but contact cannot be established (i.e., contact avoidance). Finally, participants can refuse to participate when contacted. Additionally, there is participant mortality, particularly in aging studies, whereby the participant dies before the study’s end. In some instances, it may be difficult to identify when panel members have died versus are unable to be located. Since death is often an important outcome for longitudinal studies, undetected death is an important form of attrition. </w:t>
      </w:r>
    </w:p>
    <w:p w14:paraId="4E3DEBC5" w14:textId="77777777" w:rsidR="00C9315D" w:rsidRDefault="003261EC">
      <w:pPr>
        <w:spacing w:before="240" w:after="120"/>
        <w:rPr>
          <w:color w:val="222222"/>
        </w:rPr>
      </w:pPr>
      <w:r>
        <w:rPr>
          <w:color w:val="222222"/>
        </w:rPr>
        <w:t xml:space="preserve">If Attrition is non-random when participants in subsequent waves of data collection are no longer representative of the initial sample and the population from which the sample was drawn (St. Pierre &amp; Proper, 1978; see also Deeg, 2002). If those who drop out from the study, for whatever reason, have unique characteristics, this results in threats to valid inference. Further, the correlation or relationships between variables observed in later waves are likely to diverge from </w:t>
      </w:r>
      <w:r>
        <w:rPr>
          <w:color w:val="222222"/>
        </w:rPr>
        <w:lastRenderedPageBreak/>
        <w:t xml:space="preserve">relationships that would have been observed if the original, full sample had been retained (Barry, 2005: p. 268; c.f. Saiepour et al., 2019).  </w:t>
      </w:r>
    </w:p>
    <w:p w14:paraId="388AC17A" w14:textId="77777777" w:rsidR="00C9315D" w:rsidRDefault="003261EC">
      <w:pPr>
        <w:spacing w:before="240" w:after="120"/>
        <w:rPr>
          <w:color w:val="222222"/>
        </w:rPr>
      </w:pPr>
      <w:r>
        <w:rPr>
          <w:color w:val="222222"/>
        </w:rPr>
        <w:t xml:space="preserve">Various participant and study characteristics have been noted to be related to attrition in aging studies. Participant characteristics related to attrition include being male (e.g., Jacobsen et al., 2021; Mein et al, 2012), minority group membership (e.g., Hui et al., 2013; see also McDougal et al. 2015 ), lower socioeconomic status and education levels (e.g., Banks et al., 2011; Chatfield et al., 2005; Mein et al., 2012), increased age (e.g., Chatfield et al., 2005), increased cognitive impairment (e.g., Beller et al., 2022; Chatfield et al., 2005; Hernandez et al., 2024), poorer physical functioning (Beller et al., 2022; Jacobsen et al, 2021), housing instability (Banks et al., 2011) or lack of home ownership (Mein et al., 2012), living in an urban area (Outes-Leon &amp; Dercon, 2009), and having few social contacts (Cacioppo &amp; Cacioppo, 2018) or social activities (Jacobsen et al., 2021; Mein et al., 2012).  </w:t>
      </w:r>
    </w:p>
    <w:p w14:paraId="3E2D4827" w14:textId="77777777" w:rsidR="00C9315D" w:rsidRDefault="003261EC">
      <w:pPr>
        <w:spacing w:before="240" w:after="120"/>
        <w:rPr>
          <w:color w:val="222222"/>
        </w:rPr>
      </w:pPr>
      <w:r>
        <w:rPr>
          <w:color w:val="222222"/>
        </w:rPr>
        <w:t xml:space="preserve">Study characteristics associated with attrition include the format of data collection (online-survey versus interview; Banks et al., 2011), frequency of waves of data collection, participant burden, topic sensitivity/intrusiveness, individual interviewers (Banks et al., 2011), prior non-response or non-participation (Banks et al., 2011), lack of participation in additional side studies (Deeg et al., 2002), and participant (lack of) bond to the study (Given et al., 1990). A more detailed review is provided in the proceedings from the National Academy of Sciences, Engineering, and Medicine (2017) workshop for Developing a Methodological Research Program for Longitudinal Studies. Of course, it is important to recognize that each study is unique as are its patterns of attrition. </w:t>
      </w:r>
    </w:p>
    <w:p w14:paraId="6A35CA0C" w14:textId="77777777" w:rsidR="00C9315D" w:rsidRDefault="003261EC">
      <w:pPr>
        <w:spacing w:before="240" w:after="120"/>
        <w:rPr>
          <w:color w:val="222222"/>
        </w:rPr>
      </w:pPr>
      <w:r>
        <w:rPr>
          <w:color w:val="222222"/>
        </w:rPr>
        <w:t>To further augment the nature of attrition and potential remedies, we first begin by classifying sources of attrition. These sources are associated with the phases of data collection in a panel study – locating participants, contacting participants, and actual participation. We then review methods for addressing (potential) attrition associated with each of these phases. Our focus is on recent developments as well as open questions. At the end of each subsequent section, we provide bullet point summaries as well as a list of open questions and avenues for future research.</w:t>
      </w:r>
    </w:p>
    <w:p w14:paraId="2C950BF2" w14:textId="77777777" w:rsidR="00C9315D" w:rsidRDefault="00C9315D">
      <w:pPr>
        <w:spacing w:before="240" w:after="120"/>
        <w:rPr>
          <w:b/>
          <w:bCs/>
          <w:color w:val="222222"/>
        </w:rPr>
      </w:pPr>
    </w:p>
    <w:p w14:paraId="6CF817BB" w14:textId="77777777" w:rsidR="00C9315D" w:rsidRDefault="003261EC">
      <w:pPr>
        <w:spacing w:before="240" w:after="120"/>
        <w:rPr>
          <w:b/>
          <w:bCs/>
          <w:color w:val="222222"/>
        </w:rPr>
      </w:pPr>
      <w:r>
        <w:rPr>
          <w:b/>
          <w:bCs/>
          <w:color w:val="222222"/>
        </w:rPr>
        <w:t>2. Sources of Attrition</w:t>
      </w:r>
    </w:p>
    <w:p w14:paraId="04B35274" w14:textId="77777777" w:rsidR="00C9315D" w:rsidRDefault="003261EC">
      <w:pPr>
        <w:spacing w:before="240" w:after="120"/>
        <w:rPr>
          <w:color w:val="222222"/>
        </w:rPr>
      </w:pPr>
      <w:r>
        <w:rPr>
          <w:color w:val="222222"/>
        </w:rPr>
        <w:t xml:space="preserve">All longitudinal studies start with the initial recruitment of participants to form the panel sample. The failure to recruit eligible sampled persons is labelled nonresponse. Attrition, on the other hand, is the loss of study participants after initial enrollment and participation, sometimes referred to as dropout (e.g., Deng et al., 2013). Attrition can result from an inability to locate panel members, lack of contact or contact avoidance, or an inability to gain cooperation from panel members in subsequent waves of data collection.  </w:t>
      </w:r>
    </w:p>
    <w:p w14:paraId="6E6EE6CF" w14:textId="77777777" w:rsidR="00C9315D" w:rsidRDefault="003261EC">
      <w:pPr>
        <w:spacing w:before="240" w:after="120"/>
        <w:rPr>
          <w:color w:val="222222"/>
        </w:rPr>
      </w:pPr>
      <w:r>
        <w:rPr>
          <w:b/>
          <w:bCs/>
          <w:color w:val="222222"/>
        </w:rPr>
        <w:t xml:space="preserve">Locating </w:t>
      </w:r>
      <w:r>
        <w:rPr>
          <w:color w:val="222222"/>
        </w:rPr>
        <w:t xml:space="preserve">is the first step in the process of obtaining participation at subsequent waves of data collection. Attrition occurs at this step when the research team is unable to locate the participant to query about ongoing participation. Although participants usually provide contact information in </w:t>
      </w:r>
      <w:r>
        <w:rPr>
          <w:color w:val="222222"/>
        </w:rPr>
        <w:lastRenderedPageBreak/>
        <w:t>earlier waves of data collection, participants may change addresses, telephone numbers, email addresses, or other relevant contact information in between waves of data collection, precluding the research team’s ability to easily locate the participant. This is particularly likely among harder-to-reach populations, including those who move frequently or are homeless. A similar situation occurs in aging studies when respondents move into or between a nursing home or other long-term care situations. Given the prevalence of social and physical mobility on a global scale, the ability to locate participants is becoming an increasingly important issue for longitudinal studies. We classify efforts to address this form of attrition as “locating” strategies since the purpose is not to collect an additional wave of data but rather to obtain information that will improve locating efforts when the next wave of data collection occurs.</w:t>
      </w:r>
    </w:p>
    <w:p w14:paraId="2F9975A8" w14:textId="77777777" w:rsidR="00C9315D" w:rsidRDefault="003261EC">
      <w:pPr>
        <w:spacing w:before="240" w:after="120"/>
        <w:rPr>
          <w:color w:val="222222"/>
        </w:rPr>
      </w:pPr>
      <w:r>
        <w:rPr>
          <w:color w:val="222222"/>
        </w:rPr>
        <w:t xml:space="preserve">A second source of attrition occurs when the research team is unable to directly </w:t>
      </w:r>
      <w:r>
        <w:rPr>
          <w:b/>
          <w:bCs/>
          <w:color w:val="222222"/>
        </w:rPr>
        <w:t xml:space="preserve">contact </w:t>
      </w:r>
      <w:r>
        <w:rPr>
          <w:color w:val="222222"/>
        </w:rPr>
        <w:t>the participant. If a research team is unable to locate a study participant, then the team does not have valid contact information for contact. On the other hand, if the research team has valid contact information but is unable to communicate or receive a response from the participant, then contact is the issue. We classify efforts to address this form of attrition as “contact” strategies. The causes of this form of attrition could be panel fatigue, growing disinterest in the study, or busyness (Sakshaug &amp; Huber, 2016). Further, contact avoidance has increased with the ability to screen calls (e.g., caller ID) and emails, the implementation of spam filters, and the ability to report unknown callers or emails as “spam,” precluding subsequent contact by the telephone or email service providers.</w:t>
      </w:r>
    </w:p>
    <w:p w14:paraId="2D437B95" w14:textId="77777777" w:rsidR="00C9315D" w:rsidRDefault="003261EC">
      <w:pPr>
        <w:spacing w:before="240" w:after="120"/>
        <w:rPr>
          <w:color w:val="222222"/>
        </w:rPr>
      </w:pPr>
      <w:r>
        <w:rPr>
          <w:color w:val="222222"/>
        </w:rPr>
        <w:t xml:space="preserve">In practice, detecting the difference between problems in  locating and contacting participants may be difficult – is the contact information up-to-date or is the participant simply not responding? In many instances, contact is attempted with inaccurate contact information, meaning that the issue is really locating the participant. Thus, it is often difficult for research teams to know the true source of attrition at this point. . </w:t>
      </w:r>
    </w:p>
    <w:p w14:paraId="10E8DCE5" w14:textId="77777777" w:rsidR="00C9315D" w:rsidRDefault="003261EC">
      <w:pPr>
        <w:spacing w:before="240" w:after="120"/>
        <w:rPr>
          <w:color w:val="222222"/>
        </w:rPr>
      </w:pPr>
      <w:r>
        <w:rPr>
          <w:color w:val="222222"/>
        </w:rPr>
        <w:t xml:space="preserve">A third source of attrition is a lack of </w:t>
      </w:r>
      <w:r>
        <w:rPr>
          <w:b/>
          <w:bCs/>
          <w:color w:val="222222"/>
        </w:rPr>
        <w:t xml:space="preserve">cooperation </w:t>
      </w:r>
      <w:r>
        <w:rPr>
          <w:color w:val="222222"/>
        </w:rPr>
        <w:t>from participants when contact is made and the participant receives the invitation or request to participate. Factors associated with this type of attrition include lack of (ongoing) interest and/or busyness (Sakshaug &amp; Huber, 2016). Other factors include declining physical or mental health (Beller et al., 2022; Jacobsen et al, 2021), which are particularly important to longitudinal aging studies. “Cooperation” strategies attempt to address these sources of attrition..</w:t>
      </w:r>
    </w:p>
    <w:p w14:paraId="506F07E5" w14:textId="77777777" w:rsidR="00C9315D" w:rsidRDefault="003261EC">
      <w:pPr>
        <w:spacing w:before="240" w:after="120"/>
        <w:rPr>
          <w:color w:val="222222"/>
        </w:rPr>
      </w:pPr>
      <w:r>
        <w:rPr>
          <w:color w:val="222222"/>
        </w:rPr>
        <w:t>Notably, attrition can be a temporary or a permanent state. Attrition can be temporary and occur in one or a limited number of waves with the participant returning to complete subsequent waves of data collection after the pause in participation. Alternatively, attrition can be permanent or what is called accumulated attrition. In this instance, a participant attrits from a study and never returns. Watson and Wooden (2019) argued that it is hard to contemporaneously determine if attrition is for one or limited waves versus permanent (with the exception of mortality), and different studies have different rules (e.g., participant formally withdraws from the study, participant misses a set number of waves, etc.) to determine whether attrition is limited or permanent.</w:t>
      </w:r>
    </w:p>
    <w:p w14:paraId="4E8EB9B4" w14:textId="77777777" w:rsidR="00C9315D" w:rsidRDefault="003261EC">
      <w:pPr>
        <w:spacing w:before="240" w:after="120"/>
        <w:rPr>
          <w:color w:val="222222"/>
        </w:rPr>
      </w:pPr>
      <w:r>
        <w:rPr>
          <w:color w:val="222222"/>
        </w:rPr>
        <w:lastRenderedPageBreak/>
        <w:t xml:space="preserve">Relatedly, participants are often classified into categories based on their likelihood of (any) attrition, such as easy-to-get and hard-to-get, which Watson and Wooden (2019) noted are distinctly different from one another (see also Lugtig, 2014). One factor that influences this classification is prior participation history.  Indeed, prior participation history and individual characteristics previously identified as related to attrition in the specific study or other studies with similar populations are very important predictors of future participation. </w:t>
      </w:r>
    </w:p>
    <w:p w14:paraId="5476FC3D" w14:textId="77777777" w:rsidR="00C9315D" w:rsidRDefault="003261EC">
      <w:pPr>
        <w:spacing w:before="240" w:after="120"/>
        <w:rPr>
          <w:color w:val="222222"/>
        </w:rPr>
      </w:pPr>
      <w:r>
        <w:rPr>
          <w:color w:val="222222"/>
        </w:rPr>
        <w:t xml:space="preserve">Based on this dichotomous classification or others that may be more granular, research teams undergo different efforts to limit attrition: preventative efforts and corrective efforts. </w:t>
      </w:r>
      <w:r>
        <w:rPr>
          <w:b/>
          <w:bCs/>
          <w:color w:val="222222"/>
        </w:rPr>
        <w:t xml:space="preserve">Preventative </w:t>
      </w:r>
      <w:r>
        <w:rPr>
          <w:color w:val="222222"/>
        </w:rPr>
        <w:t xml:space="preserve">efforts are strategies implemented before and during data collection that are intended to increase the likelihood that hard-to-get participants (or those most likely to attrit) will participate. </w:t>
      </w:r>
      <w:r>
        <w:rPr>
          <w:b/>
          <w:bCs/>
          <w:color w:val="222222"/>
        </w:rPr>
        <w:t xml:space="preserve">Corrective </w:t>
      </w:r>
      <w:r>
        <w:rPr>
          <w:color w:val="222222"/>
        </w:rPr>
        <w:t>efforts are used when participant subgroups have lower response and participation rates during data collection. Efforts to locate and contact participants, as well as increase participation, is then increased among these subpopulations or new, tailored strategies are implemented to encourage participation among these groups. Preventative and corrective strategies can (and should) be designed separately for easy-to-get and hard-to-get participants. Since subjects who did not participate in a previous wave may be especially difficult to re-engage, thus termed “hard-to-get” participants, it is important to consider participant history when locating, contacting, and seeking participation in light of study design characteristics, as the study’s design can be changed while participant characteristics cannot. As such, the combination of survey design and participant characteristics can create opportunities to prevent and correct for attrition in longitudinal studies.</w:t>
      </w:r>
    </w:p>
    <w:p w14:paraId="73B7A5CB" w14:textId="77777777" w:rsidR="00C9315D" w:rsidRDefault="00C9315D">
      <w:pPr>
        <w:spacing w:before="240" w:after="120"/>
        <w:rPr>
          <w:b/>
          <w:bCs/>
          <w:color w:val="222222"/>
        </w:rPr>
      </w:pPr>
    </w:p>
    <w:p w14:paraId="676063B1" w14:textId="77777777" w:rsidR="00C9315D" w:rsidRDefault="003261EC">
      <w:pPr>
        <w:spacing w:before="240" w:after="120"/>
        <w:rPr>
          <w:b/>
          <w:bCs/>
          <w:color w:val="222222"/>
        </w:rPr>
      </w:pPr>
      <w:r>
        <w:rPr>
          <w:b/>
          <w:bCs/>
          <w:color w:val="222222"/>
        </w:rPr>
        <w:t>3. Methods for Reducing Attrition</w:t>
      </w:r>
    </w:p>
    <w:p w14:paraId="77DD5C62" w14:textId="77777777" w:rsidR="00C9315D" w:rsidRDefault="003261EC">
      <w:pPr>
        <w:spacing w:before="240" w:after="120"/>
        <w:ind w:left="360"/>
        <w:rPr>
          <w:b/>
          <w:bCs/>
          <w:color w:val="222222"/>
        </w:rPr>
      </w:pPr>
      <w:r>
        <w:rPr>
          <w:b/>
          <w:bCs/>
          <w:color w:val="222222"/>
        </w:rPr>
        <w:t>3.1 Locating Strategies</w:t>
      </w:r>
    </w:p>
    <w:p w14:paraId="022E08B4" w14:textId="77777777" w:rsidR="00C9315D" w:rsidRDefault="003261EC">
      <w:pPr>
        <w:spacing w:before="240" w:after="240"/>
        <w:rPr>
          <w:color w:val="222222"/>
        </w:rPr>
      </w:pPr>
      <w:r>
        <w:rPr>
          <w:color w:val="222222"/>
        </w:rPr>
        <w:t xml:space="preserve">One source for attrition in longitudinal studies is an inability to locate participants. Although participants are often asked to provide current contact information (e.g., address, telephone number, email) while completing study activities, participant contact information can change over time. For example, street addresses change when participants move, often facilitated by important changes in life circumstances (key constructs in aging longitudinal studies), such as a new job or retirement, family formation or dissolution, declining health, or moving into a nursing/care home. Other types of contact information, such as cell telephone numbers and email addresses, can change for reasons unrelated to mobility, such as obtaining a new cell telephone, changing jobs and subsequent changes to work telephone number and email address, or adopting a new email address when a new internet provider is acquired.Another source of attrition related to locating participants is the death of a participant, particularly if the death is not known by the study. In these instances, panel studies can use preventative (i.e., carried out prospectively before contact information changes) and/or corrective (i.e. used after contact information has changed) methods to maintain accurate contact information for study participants. </w:t>
      </w:r>
    </w:p>
    <w:p w14:paraId="3B10807D" w14:textId="77777777" w:rsidR="00C9315D" w:rsidRDefault="003261EC">
      <w:pPr>
        <w:numPr>
          <w:ilvl w:val="0"/>
          <w:numId w:val="11"/>
        </w:numPr>
        <w:spacing w:after="240"/>
        <w:rPr>
          <w:color w:val="222222"/>
        </w:rPr>
      </w:pPr>
      <w:r>
        <w:rPr>
          <w:color w:val="222222"/>
        </w:rPr>
        <w:lastRenderedPageBreak/>
        <w:t>Preventative Locating Methods</w:t>
      </w:r>
    </w:p>
    <w:p w14:paraId="031DFD81" w14:textId="77777777" w:rsidR="00C9315D" w:rsidRDefault="003261EC">
      <w:pPr>
        <w:spacing w:before="240" w:after="240"/>
        <w:rPr>
          <w:color w:val="222222"/>
        </w:rPr>
      </w:pPr>
      <w:r>
        <w:rPr>
          <w:color w:val="222222"/>
        </w:rPr>
        <w:t>Preventative methods are implemented prior to locating efforts and often include:</w:t>
      </w:r>
    </w:p>
    <w:p w14:paraId="3092E9EC" w14:textId="77777777" w:rsidR="00C9315D" w:rsidRDefault="003261EC">
      <w:pPr>
        <w:numPr>
          <w:ilvl w:val="0"/>
          <w:numId w:val="9"/>
        </w:numPr>
        <w:rPr>
          <w:color w:val="222222"/>
        </w:rPr>
      </w:pPr>
      <w:r>
        <w:rPr>
          <w:color w:val="222222"/>
        </w:rPr>
        <w:t>Collecting detailed contact information: Researchers gather multiple forms of contact information, such as postal addresses, email addresses, telephone numbers, and details for alternative contacts (e.g., family members or friends) upon enrollment and at each subsequent wave of data collection.</w:t>
      </w:r>
    </w:p>
    <w:p w14:paraId="0F24D516" w14:textId="77777777" w:rsidR="00C9315D" w:rsidRDefault="003261EC">
      <w:pPr>
        <w:numPr>
          <w:ilvl w:val="0"/>
          <w:numId w:val="9"/>
        </w:numPr>
        <w:rPr>
          <w:color w:val="222222"/>
        </w:rPr>
      </w:pPr>
      <w:r>
        <w:rPr>
          <w:color w:val="222222"/>
        </w:rPr>
        <w:t>Collecting detailed identifying information: Researchers gather personally identifiable information for locating purposes only (or another purpose upon stated consent), including birthday and social security numbers.</w:t>
      </w:r>
    </w:p>
    <w:p w14:paraId="130F6903" w14:textId="77777777" w:rsidR="00C9315D" w:rsidRDefault="003261EC">
      <w:pPr>
        <w:numPr>
          <w:ilvl w:val="0"/>
          <w:numId w:val="9"/>
        </w:numPr>
        <w:rPr>
          <w:color w:val="222222"/>
        </w:rPr>
      </w:pPr>
      <w:r>
        <w:rPr>
          <w:color w:val="222222"/>
        </w:rPr>
        <w:t>Change-of-address/Change-of-info cards: Participants are provided with physical (prepaid) cards during participation or in between waves of data collection that can be mailed back to the study to notify the study team of any address or contact information changes. These sometimes include incentives, contingent upon supplying updated information.</w:t>
      </w:r>
    </w:p>
    <w:p w14:paraId="513C5E86" w14:textId="77777777" w:rsidR="00C9315D" w:rsidRDefault="003261EC">
      <w:pPr>
        <w:numPr>
          <w:ilvl w:val="0"/>
          <w:numId w:val="9"/>
        </w:numPr>
        <w:rPr>
          <w:color w:val="222222"/>
        </w:rPr>
      </w:pPr>
      <w:r>
        <w:rPr>
          <w:color w:val="222222"/>
        </w:rPr>
        <w:t>Dedicated websites: The study sets up a secure website where participants can log in and update their personal contact information at any time.</w:t>
      </w:r>
    </w:p>
    <w:p w14:paraId="14030AA2" w14:textId="77777777" w:rsidR="00C9315D" w:rsidRDefault="003261EC">
      <w:pPr>
        <w:numPr>
          <w:ilvl w:val="0"/>
          <w:numId w:val="9"/>
        </w:numPr>
        <w:rPr>
          <w:color w:val="222222"/>
        </w:rPr>
      </w:pPr>
      <w:r>
        <w:rPr>
          <w:color w:val="222222"/>
        </w:rPr>
        <w:t>Email and free telephone (toll-free) numbers: Participants are provided with the study’s email address and/or a toll-free telephone number to report changes in contact information or request assistance.</w:t>
      </w:r>
    </w:p>
    <w:p w14:paraId="53BB950F" w14:textId="77777777" w:rsidR="00C9315D" w:rsidRDefault="003261EC">
      <w:pPr>
        <w:numPr>
          <w:ilvl w:val="0"/>
          <w:numId w:val="9"/>
        </w:numPr>
        <w:rPr>
          <w:color w:val="222222"/>
        </w:rPr>
      </w:pPr>
      <w:r>
        <w:rPr>
          <w:color w:val="222222"/>
        </w:rPr>
        <w:t>Collecting moving intentions: During each wave of data collection, participants are asked about any plans to move in the near future, so the study team can anticipate and prepare for changes in contact information.</w:t>
      </w:r>
    </w:p>
    <w:p w14:paraId="5E5240BB" w14:textId="77777777" w:rsidR="00C9315D" w:rsidRDefault="003261EC">
      <w:pPr>
        <w:numPr>
          <w:ilvl w:val="0"/>
          <w:numId w:val="9"/>
        </w:numPr>
        <w:rPr>
          <w:color w:val="222222"/>
        </w:rPr>
      </w:pPr>
      <w:r>
        <w:rPr>
          <w:color w:val="222222"/>
        </w:rPr>
        <w:t>Regular follow-up, reminders, and updates about the study: Ongoing communications, such as newsletters or periodic check-ins, can help maintain engagement and prompt updates if any contact details have changed.</w:t>
      </w:r>
    </w:p>
    <w:p w14:paraId="148A2F70" w14:textId="77777777" w:rsidR="00C9315D" w:rsidRDefault="003261EC">
      <w:pPr>
        <w:numPr>
          <w:ilvl w:val="0"/>
          <w:numId w:val="9"/>
        </w:numPr>
        <w:spacing w:after="240"/>
        <w:rPr>
          <w:color w:val="222222"/>
        </w:rPr>
      </w:pPr>
      <w:r>
        <w:rPr>
          <w:color w:val="222222"/>
        </w:rPr>
        <w:t>Checking death records to see if any can be matched to panel members.</w:t>
      </w:r>
    </w:p>
    <w:p w14:paraId="144A8593" w14:textId="77777777" w:rsidR="00C9315D" w:rsidRDefault="003261EC">
      <w:pPr>
        <w:spacing w:after="240"/>
        <w:rPr>
          <w:color w:val="222222"/>
        </w:rPr>
      </w:pPr>
      <w:r>
        <w:rPr>
          <w:color w:val="222222"/>
        </w:rPr>
        <w:t>For a review of best practices in locating study participants in panel longitudinal studies, see Laurie et al. (1999), although the review itself is somewhat dated. Commonly utilized preventative locating methods are described in further detail below:</w:t>
      </w:r>
    </w:p>
    <w:p w14:paraId="09F3207D" w14:textId="77777777" w:rsidR="00C9315D" w:rsidRDefault="003261EC">
      <w:pPr>
        <w:spacing w:before="240" w:after="240"/>
        <w:ind w:left="1440" w:firstLine="720"/>
        <w:rPr>
          <w:i/>
          <w:iCs/>
          <w:color w:val="222222"/>
        </w:rPr>
      </w:pPr>
      <w:r>
        <w:rPr>
          <w:i/>
          <w:iCs/>
          <w:color w:val="222222"/>
        </w:rPr>
        <w:t>i. Collecting Contact Information</w:t>
      </w:r>
    </w:p>
    <w:p w14:paraId="4F3204D8" w14:textId="77777777" w:rsidR="00C9315D" w:rsidRDefault="003261EC">
      <w:pPr>
        <w:spacing w:before="240" w:after="240"/>
        <w:rPr>
          <w:color w:val="222222"/>
        </w:rPr>
      </w:pPr>
      <w:r>
        <w:rPr>
          <w:color w:val="222222"/>
        </w:rPr>
        <w:t xml:space="preserve">Sample maintenance efforts start during the recruitment phase when eligible participants are identified and invited to complete their baseline questionnaire. The initial recruitment involves contacting sampled units, verifying eligibility, and asking them to participate in the study. It can also involve asking personally identifying information that can be used to verify eligibility (i.e., birthday) or used to link study activities to administrative data (i.e., social security numbers). Importantly, some of this personally identifiable information can also be used to help in locating strategies as the study progresses over time. </w:t>
      </w:r>
    </w:p>
    <w:p w14:paraId="4CF0BD77" w14:textId="77777777" w:rsidR="00C9315D" w:rsidRDefault="003261EC">
      <w:pPr>
        <w:spacing w:before="240" w:after="240"/>
        <w:rPr>
          <w:color w:val="222222"/>
        </w:rPr>
      </w:pPr>
      <w:r>
        <w:rPr>
          <w:color w:val="222222"/>
        </w:rPr>
        <w:t xml:space="preserve">In recent years, many studies have switched to self-administered modes (Olson, et al., 2021). For self-administered modes (i.e. web and paper questionnaires), either at inception or in a </w:t>
      </w:r>
      <w:r>
        <w:rPr>
          <w:color w:val="222222"/>
        </w:rPr>
        <w:lastRenderedPageBreak/>
        <w:t>follow-up wave, asking for contact information can be difficult due to the absence of an interviewer who can explain the request and answer concerns about confidentiality.The need for contact information should be clearly explained as well as what it will and will not be used for. It is also important for the research team to ensure participant confidentiality as well as make clear to the participant all the steps that will be taken to protect personal identifying information in the form of contact data (e.g., keep contact information separate from interview or study activity data).</w:t>
      </w:r>
    </w:p>
    <w:p w14:paraId="4AA166C1" w14:textId="77777777" w:rsidR="00C9315D" w:rsidRDefault="003261EC">
      <w:pPr>
        <w:spacing w:before="240" w:after="240"/>
        <w:rPr>
          <w:color w:val="222222"/>
        </w:rPr>
      </w:pPr>
      <w:r>
        <w:rPr>
          <w:color w:val="222222"/>
        </w:rPr>
        <w:t xml:space="preserve">For interviewer-administered surveys, , the interviewers should be trained to clearly explain to study members why providing accurate contact information is essential—for both their continued involvement and the overall success of the study. Field staff also should be trained in thorough and systematic study record-keeping practices, emphasizing the value of precise and complete participant records to support effective communication and follow-up as well as privacy and confidentiality. </w:t>
      </w:r>
    </w:p>
    <w:p w14:paraId="2CEFE2DD" w14:textId="77777777" w:rsidR="00C9315D" w:rsidRDefault="003261EC">
      <w:pPr>
        <w:spacing w:before="240" w:after="240"/>
        <w:rPr>
          <w:color w:val="222222"/>
        </w:rPr>
      </w:pPr>
      <w:r>
        <w:rPr>
          <w:color w:val="222222"/>
        </w:rPr>
        <w:t xml:space="preserve">At this stage, there is a balance between participant burden and collecting as much contact information as possible in order to facilitate subsequent contact. Obviously, more information will make it easier to find participants later. Participants are more likely to provide contact information such as home or cell telephone numbers, email addresses, and street addresses.  The names of contact persons (see the next section) and their contact information can also be collected. However, asking for additional details about the participant or contact persons also creates burden and may raise general concerns about confidentiality. </w:t>
      </w:r>
    </w:p>
    <w:p w14:paraId="09DF0F95" w14:textId="77777777" w:rsidR="00C9315D" w:rsidRDefault="003261EC">
      <w:pPr>
        <w:spacing w:before="240" w:after="240"/>
        <w:rPr>
          <w:color w:val="222222"/>
        </w:rPr>
      </w:pPr>
      <w:r>
        <w:rPr>
          <w:color w:val="222222"/>
        </w:rPr>
        <w:t xml:space="preserve">Relatedly, Social Security Numbers (SSNs) and other country-level personal identifiers and birthdays are inherently more sensitive. Studies may collect this information at inception to verify eligibility or in order to link study data to administrative record data. WHile this information may only be requested once (at inception, it can also be used to assist in locating participants in the future. However, their need and purpose should be made clear to the participant as well as the steps the research team will go to in order to protect the participant’s privacy and confidentiality. As a result, study team members must be flexible and accommodating with respect to the information that participants feel comfortable providing and attempt to maximize the provided information in locating strategies.  </w:t>
      </w:r>
    </w:p>
    <w:p w14:paraId="4D656BB2" w14:textId="77777777" w:rsidR="00C9315D" w:rsidRDefault="003261EC">
      <w:pPr>
        <w:ind w:left="2160" w:firstLine="720"/>
        <w:rPr>
          <w:i/>
          <w:iCs/>
          <w:color w:val="222222"/>
        </w:rPr>
      </w:pPr>
      <w:r>
        <w:rPr>
          <w:i/>
          <w:iCs/>
          <w:color w:val="222222"/>
        </w:rPr>
        <w:t>ii.  Collect Information on Contact Persons (CPs)</w:t>
      </w:r>
    </w:p>
    <w:p w14:paraId="46E157B7" w14:textId="77777777" w:rsidR="00C9315D" w:rsidRDefault="003261EC">
      <w:pPr>
        <w:spacing w:before="240" w:after="240"/>
        <w:rPr>
          <w:color w:val="222222"/>
        </w:rPr>
      </w:pPr>
      <w:r>
        <w:rPr>
          <w:color w:val="222222"/>
        </w:rPr>
        <w:t>Collecting CP names and contact information is a widely used method for maintaining contact with mobile persons. Participants are asked to name someone who can help the study get in touch with the participant in the event the research team is unable to make contact. In recent years, increasing concerns about individual privacy may have reduced the effectiveness of this method.  The presence of interviewers may be helpful at this step since they can explain why the information is being requested and how it will be used.</w:t>
      </w:r>
    </w:p>
    <w:p w14:paraId="4DEEEF55" w14:textId="77777777" w:rsidR="00C9315D" w:rsidRDefault="003261EC">
      <w:pPr>
        <w:spacing w:before="240" w:after="240"/>
        <w:rPr>
          <w:color w:val="222222"/>
        </w:rPr>
      </w:pPr>
      <w:r>
        <w:rPr>
          <w:color w:val="222222"/>
        </w:rPr>
        <w:t xml:space="preserve">The Health and Retirement Study’s, among others, review of the collection and use of CP information emphasized the continued value of this resource for locating participants, showing that engaged respondents, those who update their own contact information and provide a CP, </w:t>
      </w:r>
      <w:r>
        <w:rPr>
          <w:color w:val="222222"/>
        </w:rPr>
        <w:lastRenderedPageBreak/>
        <w:t>are more likely to complete the next wave of data collection. Amongst participants who supply CP information , the rate of participation is significantly higher (Leissou et. al, 2025). A large proportion of the HRS panel is willing to supply CP information. In 2018, 88.8% of cases fielded had at least one contact person listed, and during 2020 and 2022, the rate increased to 90%. Furthermore, in 2018, panel members who provided at least 1 CP after their 2016 interview had a response rate that was 18.5 percentage points higher than those who did not provide any CPs. The difference in response rate between these two groups was even bigger in 2020 (25.2 percentage points), and in 2022 the difference grew to 28.1 percentage points. It is unknown whether the higher response rates are due to use of the contact information or that panel members who supply info on CPs are also more likely to participate. One further open question appears to be the potential effects of early outreach to CPs to make them aware of their nomination by the participant, as such outreach may also be instrumental in ensuring their willingness to help locate the respondent in the future.</w:t>
      </w:r>
    </w:p>
    <w:p w14:paraId="62606046" w14:textId="77777777" w:rsidR="00C9315D" w:rsidRDefault="003261EC">
      <w:pPr>
        <w:ind w:left="2160" w:firstLine="720"/>
        <w:rPr>
          <w:i/>
          <w:iCs/>
          <w:color w:val="222222"/>
        </w:rPr>
      </w:pPr>
      <w:r>
        <w:rPr>
          <w:i/>
          <w:iCs/>
          <w:color w:val="222222"/>
        </w:rPr>
        <w:t>iii.  Maintain an Address Database</w:t>
      </w:r>
    </w:p>
    <w:p w14:paraId="265A59D0" w14:textId="77777777" w:rsidR="00C9315D" w:rsidRDefault="003261EC">
      <w:pPr>
        <w:spacing w:before="240" w:after="240"/>
        <w:rPr>
          <w:color w:val="222222"/>
        </w:rPr>
      </w:pPr>
      <w:r>
        <w:rPr>
          <w:color w:val="222222"/>
        </w:rPr>
        <w:t>Thorough and systematic record-keeping practices can be achieved through the use of well-designed databases that are capable of storing extensive information, such as participants’ contact details and their designated contact persons. To maximize their effectiveness, these databases should go beyond capturing the most recent updates. Instead, they should function as comprehensive archives, preserving all relevant data and updates accumulated throughout the study. Historical information plays a crucial role in locating participants, providing patterns and reference points from the past. In essence, such information offers valuable clues, such as patterns of mobility or potential locations of participants, that enhance the overall locating process.</w:t>
      </w:r>
    </w:p>
    <w:p w14:paraId="7334481E" w14:textId="77777777" w:rsidR="00C9315D" w:rsidRDefault="003261EC">
      <w:pPr>
        <w:spacing w:before="240" w:after="240"/>
        <w:rPr>
          <w:color w:val="222222"/>
        </w:rPr>
      </w:pPr>
      <w:r>
        <w:rPr>
          <w:color w:val="222222"/>
        </w:rPr>
        <w:t>The HRS study has utilized an updated database across waves. Updates are made at the conclusion of the wave of data collection, as well as between waves. The study found that the majority (90%) of these updates come from interviewer-respondent interactions during data collection. A small portion of the updates are initiated by participants who either called the toll-free line, sent an email to the study account, or wrote a letter to the study notifying it of a change. Few updates came from returned or forwarded mail. In 2018, 24% of cases had an update prior to the start of field work. The rate increased to 59% for 2020, and dropped to 28% for 2022 (Leissou et. al, 2025). In all three waves, those who submitted an update had a higher response rate than those who didn’t.</w:t>
      </w:r>
    </w:p>
    <w:p w14:paraId="37BF92A5" w14:textId="77777777" w:rsidR="00C9315D" w:rsidRDefault="003261EC">
      <w:pPr>
        <w:spacing w:before="240" w:after="240"/>
        <w:ind w:left="2160" w:firstLine="720"/>
        <w:rPr>
          <w:i/>
          <w:iCs/>
          <w:color w:val="222222"/>
        </w:rPr>
      </w:pPr>
      <w:r>
        <w:rPr>
          <w:i/>
          <w:iCs/>
          <w:color w:val="222222"/>
        </w:rPr>
        <w:t>iv. Between-Wave requests for updated contact information</w:t>
      </w:r>
    </w:p>
    <w:p w14:paraId="4B69A593" w14:textId="77777777" w:rsidR="00C9315D" w:rsidRDefault="003261EC">
      <w:pPr>
        <w:spacing w:before="240" w:after="240"/>
        <w:rPr>
          <w:color w:val="222222"/>
        </w:rPr>
      </w:pPr>
      <w:r>
        <w:rPr>
          <w:color w:val="222222"/>
        </w:rPr>
        <w:t xml:space="preserve">Between-wave requests for updates or confirmation of contact information can be an important strategy for studies with relatively long periods of time between waves. Laurie et al. (1999) provide a useful summary of methods for obtaining updated contact information. McGonagle et al. (2011) experiment with the design of the materials, timing and frequency of mailings, as well as incentives. They explore how these experimental treatments impacted production outcomes in McGonagle et al. (2013). McGonagle and Schoeni (2015) further explore the use of multiple modes. Jäckle and Lynn (2008) explore how incentives across waves impact the collection of </w:t>
      </w:r>
      <w:r>
        <w:rPr>
          <w:color w:val="222222"/>
        </w:rPr>
        <w:lastRenderedPageBreak/>
        <w:t>updated contact information between waves. One strategy would be to predict which cases are likely to be difficult to locate, and provide extra or different effort on maintaining contact with those cases between waves.</w:t>
      </w:r>
    </w:p>
    <w:p w14:paraId="2F01C5E1" w14:textId="77777777" w:rsidR="00C9315D" w:rsidRDefault="003261EC">
      <w:pPr>
        <w:spacing w:before="240" w:after="240"/>
        <w:rPr>
          <w:color w:val="222222"/>
        </w:rPr>
      </w:pPr>
      <w:r>
        <w:rPr>
          <w:color w:val="222222"/>
        </w:rPr>
        <w:t>Further, strategies for improving the engagement of panel members as well as initiating early contact and engagement with CPs, such as sending newsletters or holiday cards (see 3.3.g below), may also lead to returned mail or other information about cases that will need some effort to be located.</w:t>
      </w:r>
    </w:p>
    <w:p w14:paraId="72111B88" w14:textId="77777777" w:rsidR="00C9315D" w:rsidRDefault="003261EC">
      <w:pPr>
        <w:spacing w:after="240"/>
        <w:rPr>
          <w:color w:val="222222"/>
        </w:rPr>
      </w:pPr>
      <w:r>
        <w:rPr>
          <w:color w:val="222222"/>
        </w:rPr>
        <w:t>Targeted, preventative strategies also should be considered. Lynn (2012) found that asking sample members if they plan to move was highly predictive of cases that were difficult to locate in the subsequent wave(s) of data collection. Couper and Ofstedal (2009) suggested predicting the probability of moving based on individual characteristics and use this to implement additional targeted, locating strategies such as additional address, telephone, and email searches through various service providers or through self-nominated contacts. In such a model, the self-reported intention to move might be a strong predictor of subsequent inability to locate the participant. The predicted probabilities of inability to locate a participant can then be used to define strata of cases, some of which would receive more or different locating efforts, such as additional searches via death records, obituaries, home ownership records, social media, etc. In aging studies, generating predicted probabilities for potential health shocks, cognitive decline or institutionalization may also be very useful, as these could trigger targeted efforts to elicit more comprehensive alternative contact details of family members and/or friends who could provide further information on the target participants’ future whereabouts and/or serve as potential proxy respondents in main and/or special end-of-life interviews in case of participant deaths.</w:t>
      </w:r>
    </w:p>
    <w:p w14:paraId="155A2599" w14:textId="77777777" w:rsidR="00C9315D" w:rsidRDefault="003261EC">
      <w:pPr>
        <w:spacing w:before="240" w:after="240"/>
        <w:ind w:left="2520" w:hanging="360"/>
        <w:rPr>
          <w:color w:val="222222"/>
        </w:rPr>
      </w:pPr>
      <w:r>
        <w:rPr>
          <w:color w:val="222222"/>
        </w:rPr>
        <w:t>b.</w:t>
      </w:r>
      <w:r>
        <w:rPr>
          <w:rFonts w:ascii="Times New Roman" w:eastAsia="Times New Roman" w:hAnsi="Times New Roman" w:cs="Times New Roman"/>
          <w:color w:val="222222"/>
          <w:sz w:val="14"/>
          <w:szCs w:val="14"/>
        </w:rPr>
        <w:t xml:space="preserve">    </w:t>
      </w:r>
      <w:r>
        <w:rPr>
          <w:color w:val="222222"/>
        </w:rPr>
        <w:t>Corrective Locating Methods</w:t>
      </w:r>
    </w:p>
    <w:p w14:paraId="3E61155B" w14:textId="77777777" w:rsidR="00C9315D" w:rsidRDefault="003261EC">
      <w:pPr>
        <w:rPr>
          <w:color w:val="222222"/>
        </w:rPr>
      </w:pPr>
      <w:r>
        <w:rPr>
          <w:color w:val="222222"/>
        </w:rPr>
        <w:t xml:space="preserve">When protective measures fall short, study teams may apply corrective locating methods. There is agreement across studies that locating success is achievable through careful, multi-method locating strategies, but, importantly, these efforts should be not only comprehensive but also ethically sound. </w:t>
      </w:r>
    </w:p>
    <w:p w14:paraId="2D7D156F" w14:textId="77777777" w:rsidR="00C9315D" w:rsidRDefault="003261EC">
      <w:pPr>
        <w:rPr>
          <w:color w:val="222222"/>
        </w:rPr>
      </w:pPr>
      <w:r>
        <w:rPr>
          <w:color w:val="222222"/>
        </w:rPr>
        <w:t xml:space="preserve"> </w:t>
      </w:r>
    </w:p>
    <w:p w14:paraId="32AC00D7" w14:textId="77777777" w:rsidR="00C9315D" w:rsidRDefault="003261EC">
      <w:pPr>
        <w:ind w:left="2160" w:firstLine="720"/>
        <w:rPr>
          <w:i/>
          <w:iCs/>
          <w:color w:val="222222"/>
        </w:rPr>
      </w:pPr>
      <w:r>
        <w:rPr>
          <w:i/>
          <w:iCs/>
          <w:color w:val="222222"/>
        </w:rPr>
        <w:t>i.</w:t>
      </w:r>
      <w:r>
        <w:rPr>
          <w:rFonts w:ascii="Times New Roman" w:eastAsia="Times New Roman" w:hAnsi="Times New Roman" w:cs="Times New Roman"/>
          <w:i/>
          <w:iCs/>
          <w:color w:val="222222"/>
          <w:sz w:val="14"/>
          <w:szCs w:val="14"/>
        </w:rPr>
        <w:t xml:space="preserve">    </w:t>
      </w:r>
      <w:r>
        <w:rPr>
          <w:i/>
          <w:iCs/>
          <w:color w:val="222222"/>
        </w:rPr>
        <w:t>Interviewer and Locating Team efforts</w:t>
      </w:r>
    </w:p>
    <w:p w14:paraId="0BA916D1" w14:textId="77777777" w:rsidR="00C9315D" w:rsidRDefault="003261EC">
      <w:pPr>
        <w:spacing w:before="240" w:after="240"/>
        <w:rPr>
          <w:color w:val="222222"/>
        </w:rPr>
      </w:pPr>
      <w:r>
        <w:rPr>
          <w:color w:val="222222"/>
        </w:rPr>
        <w:t xml:space="preserve">One best practice for locating participants includes a multilayered locating protocol to locate participants, relying on several resources that are often revisited as new information surfaces or fails to yield the valid contact information for a participant. The process of locating participants, particularly hard-to-reach participants, should be dynamic. For instance, when leads are pursued but ultimately prove fruitless, cases are temporarily set aside, and are revisited later on as fresh information becomes available. </w:t>
      </w:r>
    </w:p>
    <w:p w14:paraId="70DD1A2D" w14:textId="77777777" w:rsidR="00C9315D" w:rsidRDefault="003261EC">
      <w:pPr>
        <w:rPr>
          <w:color w:val="222222"/>
        </w:rPr>
      </w:pPr>
      <w:r>
        <w:rPr>
          <w:color w:val="222222"/>
        </w:rPr>
        <w:t xml:space="preserve">If initial mail gets returned, requests can be made to the U.S. Postal Service to find a forwarding address. Reverse lookup tools can be used to match old telephone numbers or addresses to </w:t>
      </w:r>
      <w:r>
        <w:rPr>
          <w:color w:val="222222"/>
        </w:rPr>
        <w:lastRenderedPageBreak/>
        <w:t>current information. Finally, efforts should be made to check public records—such as property ownership, marriage licenses, or professional licenses— to get updated contact information.</w:t>
      </w:r>
    </w:p>
    <w:p w14:paraId="6D4230C6" w14:textId="77777777" w:rsidR="00C9315D" w:rsidRDefault="003261EC">
      <w:pPr>
        <w:spacing w:before="240" w:after="240"/>
        <w:rPr>
          <w:color w:val="222222"/>
        </w:rPr>
      </w:pPr>
      <w:r>
        <w:rPr>
          <w:color w:val="222222"/>
        </w:rPr>
        <w:t>For studies that use interviewers, methods such as checking area codes and directory assistance, or sending letters—generally yield the lowest success rates, primarily because these steps offer limited reach. However, interviewers may have success in obtaining new information by visiting the last known address and asking neighbors or property managers for new information.</w:t>
      </w:r>
    </w:p>
    <w:p w14:paraId="1F5602A9" w14:textId="77777777" w:rsidR="00C9315D" w:rsidRDefault="003261EC">
      <w:pPr>
        <w:spacing w:before="240" w:after="240"/>
        <w:rPr>
          <w:color w:val="222222"/>
        </w:rPr>
      </w:pPr>
      <w:r>
        <w:rPr>
          <w:color w:val="222222"/>
        </w:rPr>
        <w:t>Information from previous study waves, provided by informants, family members, proxies, and other contact persons, along with information gathered by the locating team through their own investigative contacts have consistently produced the highest rates of locating. Paid services like Accurint, which supplies extensive public records, and Melissa Data, specializing in address verification, also contribute significantly, though their success lags slightly behind the team-based and past wave information. Online resources—including Google, USPS, Whitepages, various obituary sites, and the Social Security Death Index—have lower success rates. Calderwood (2013) also explored the use of social media for tracking with varying success. Over the years, the effectiveness of each of these resources for corrective locating strategies has fluctuated. Thus, the locating protocol must remain adaptive, maximizing the chances of locating participants by continuously integrating new information, new and used resources, and switching strategies as needed.</w:t>
      </w:r>
    </w:p>
    <w:p w14:paraId="41B0C212" w14:textId="77777777" w:rsidR="00C9315D" w:rsidRDefault="003261EC">
      <w:pPr>
        <w:ind w:left="2160" w:firstLine="720"/>
        <w:rPr>
          <w:i/>
          <w:iCs/>
          <w:color w:val="222222"/>
        </w:rPr>
      </w:pPr>
      <w:r>
        <w:rPr>
          <w:i/>
          <w:iCs/>
          <w:color w:val="222222"/>
        </w:rPr>
        <w:t>ii. Confidentiality and Locating</w:t>
      </w:r>
    </w:p>
    <w:p w14:paraId="3511FA9E" w14:textId="77777777" w:rsidR="00C9315D" w:rsidRDefault="003261EC">
      <w:pPr>
        <w:spacing w:before="240" w:after="120"/>
        <w:rPr>
          <w:color w:val="222222"/>
        </w:rPr>
      </w:pPr>
      <w:r>
        <w:rPr>
          <w:color w:val="222222"/>
        </w:rPr>
        <w:t xml:space="preserve">A key concern in the locating process is breach of confidentiality, which could happen during discussions with informants or during the use of online resources. Locators are trained and skilled in conversations and can control the information that is shared with informants (i.e. who they are and why they need to speak with the participant). On the other hand, when using online resources there is concern about how much of the data that locators enter are being tracked. Locating teams should be vetting online resources based on the amount of information they collect (actively or passively), and avoid using sites that require a login or profile, as that likely implies more of a digital trail on the resource's side. Additionally, locators should be clearing their search history on their own computers regularly. </w:t>
      </w:r>
    </w:p>
    <w:p w14:paraId="0DC83D38" w14:textId="77777777" w:rsidR="00C9315D" w:rsidRDefault="003261EC">
      <w:pPr>
        <w:spacing w:before="240" w:after="120"/>
        <w:rPr>
          <w:color w:val="222222"/>
        </w:rPr>
      </w:pPr>
      <w:r>
        <w:rPr>
          <w:color w:val="222222"/>
        </w:rPr>
        <w:t>It is also useful to understand the view and expectations of participants in longitudinal studies with respect to their privacy and the use of various locating methods. Few studies have looked at the views’ of survey participants on privacy (Couper, et al., 1998; Singer, 1978). As the methods available for locating participants evolve, researchers should also consider how participants' views may also evolve.</w:t>
      </w:r>
    </w:p>
    <w:p w14:paraId="55E13B33" w14:textId="77777777" w:rsidR="00C9315D" w:rsidRDefault="003261EC">
      <w:pPr>
        <w:spacing w:before="240" w:after="120"/>
        <w:rPr>
          <w:i/>
          <w:iCs/>
          <w:color w:val="222222"/>
          <w:u w:val="single"/>
        </w:rPr>
      </w:pPr>
      <w:r>
        <w:rPr>
          <w:i/>
          <w:iCs/>
          <w:color w:val="222222"/>
          <w:u w:val="single"/>
        </w:rPr>
        <w:t>Summary of Location Strategies</w:t>
      </w:r>
    </w:p>
    <w:p w14:paraId="3CA8F3A9" w14:textId="77777777" w:rsidR="00C9315D" w:rsidRDefault="003261EC">
      <w:pPr>
        <w:spacing w:before="240" w:after="120"/>
        <w:rPr>
          <w:color w:val="222222"/>
        </w:rPr>
      </w:pPr>
      <w:r>
        <w:rPr>
          <w:color w:val="222222"/>
        </w:rPr>
        <w:t xml:space="preserve">Between-wave efforts to locate panel members goes beyond administrative steps – it is a strategic process that requires both preventative and corrective strategies should be into a single overall plan. Effectiveness in locating participants to reduce attrition requires the </w:t>
      </w:r>
      <w:r>
        <w:rPr>
          <w:color w:val="222222"/>
        </w:rPr>
        <w:lastRenderedPageBreak/>
        <w:t>integration of multiple elements: relying upon previously supplied contact information, asking panel members to supply information for contact persons who can facilitate subsequent contact, asking panel members to confirm or update contact information between study activities, and locating panel members through the use of external sources (e.g. online resources and administrative records) and efforts . Actions aimed at engagement – such as sending newsletters to inform participants of study activities and findings, greeting/birthday cards to build trust and relationships, and ancillary surveys to enrich data (while carefully managing burden) – may also assist in locating study participants. Overall, in aging studies where attrition is high, integrating practical maintenance with relational communication is essential for sustaining participation over time.</w:t>
      </w:r>
    </w:p>
    <w:p w14:paraId="389875F5" w14:textId="77777777" w:rsidR="00C9315D" w:rsidRDefault="003261EC">
      <w:pPr>
        <w:spacing w:before="240" w:after="120"/>
        <w:rPr>
          <w:i/>
          <w:iCs/>
          <w:color w:val="222222"/>
          <w:u w:val="single"/>
        </w:rPr>
      </w:pPr>
      <w:r>
        <w:rPr>
          <w:i/>
          <w:iCs/>
          <w:color w:val="222222"/>
          <w:u w:val="single"/>
        </w:rPr>
        <w:t>Open Questions and Gaps in Knowledge</w:t>
      </w:r>
    </w:p>
    <w:p w14:paraId="4BF2107E" w14:textId="77777777" w:rsidR="00C9315D" w:rsidRDefault="003261EC">
      <w:pPr>
        <w:spacing w:before="240" w:after="120"/>
        <w:rPr>
          <w:color w:val="222222"/>
        </w:rPr>
      </w:pPr>
      <w:r>
        <w:rPr>
          <w:color w:val="222222"/>
        </w:rPr>
        <w:t>1. Preventative Methods</w:t>
      </w:r>
    </w:p>
    <w:p w14:paraId="206F9F79" w14:textId="77777777" w:rsidR="00C9315D" w:rsidRDefault="003261EC">
      <w:pPr>
        <w:numPr>
          <w:ilvl w:val="0"/>
          <w:numId w:val="19"/>
        </w:numPr>
        <w:rPr>
          <w:color w:val="222222"/>
        </w:rPr>
      </w:pPr>
      <w:r>
        <w:rPr>
          <w:color w:val="222222"/>
        </w:rPr>
        <w:t>Does collecting information about contact persons lead to higher rates of subsequent contact with participants? There is no experimental evidence on this question.</w:t>
      </w:r>
    </w:p>
    <w:p w14:paraId="7545956F" w14:textId="77777777" w:rsidR="00C9315D" w:rsidRDefault="003261EC">
      <w:pPr>
        <w:numPr>
          <w:ilvl w:val="0"/>
          <w:numId w:val="19"/>
        </w:numPr>
        <w:rPr>
          <w:color w:val="222222"/>
        </w:rPr>
      </w:pPr>
      <w:r>
        <w:rPr>
          <w:color w:val="222222"/>
        </w:rPr>
        <w:t>How should engagement with nominated contact persons be managed in terms of future cooperation, confidentiality issues, etc.? There is no evaluation of the ethicality or burden on nominated contact persons or their willingness to provide updated contact information.</w:t>
      </w:r>
    </w:p>
    <w:p w14:paraId="0982B12C" w14:textId="77777777" w:rsidR="00C9315D" w:rsidRDefault="003261EC">
      <w:pPr>
        <w:numPr>
          <w:ilvl w:val="0"/>
          <w:numId w:val="19"/>
        </w:numPr>
        <w:rPr>
          <w:color w:val="222222"/>
        </w:rPr>
      </w:pPr>
      <w:r>
        <w:rPr>
          <w:color w:val="222222"/>
        </w:rPr>
        <w:t>Are new modes of contact (e.g., websites) more effective for obtaining updated contact information compared to older methods (e.g., cards and newsletters)? There is no experimental evidence to suggest one method outperforms the other.</w:t>
      </w:r>
    </w:p>
    <w:p w14:paraId="75D3A38C" w14:textId="77777777" w:rsidR="00C9315D" w:rsidRDefault="003261EC">
      <w:pPr>
        <w:numPr>
          <w:ilvl w:val="0"/>
          <w:numId w:val="19"/>
        </w:numPr>
        <w:rPr>
          <w:color w:val="222222"/>
        </w:rPr>
      </w:pPr>
      <w:r>
        <w:rPr>
          <w:color w:val="222222"/>
        </w:rPr>
        <w:t>How should requests for contact information be presented in web and paper questionnaires? The role of email has been examined, but more information is needed regarding Short Message Service.</w:t>
      </w:r>
    </w:p>
    <w:p w14:paraId="53362566" w14:textId="77777777" w:rsidR="00C9315D" w:rsidRDefault="003261EC">
      <w:pPr>
        <w:numPr>
          <w:ilvl w:val="0"/>
          <w:numId w:val="19"/>
        </w:numPr>
        <w:rPr>
          <w:color w:val="222222"/>
        </w:rPr>
      </w:pPr>
      <w:r>
        <w:rPr>
          <w:color w:val="222222"/>
        </w:rPr>
        <w:t>Does postal mail continue to be effective, and if so, for whom? It is unknown if this form of contact is obsolete in contrast to technological contact.</w:t>
      </w:r>
    </w:p>
    <w:p w14:paraId="5F45977D" w14:textId="77777777" w:rsidR="00C9315D" w:rsidRDefault="003261EC">
      <w:pPr>
        <w:numPr>
          <w:ilvl w:val="0"/>
          <w:numId w:val="19"/>
        </w:numPr>
        <w:spacing w:after="360"/>
        <w:rPr>
          <w:color w:val="222222"/>
        </w:rPr>
      </w:pPr>
      <w:r>
        <w:rPr>
          <w:color w:val="222222"/>
        </w:rPr>
        <w:t>What impact do incentives (amount and timing) have on subsequent locating of participants? It is unknown how incentives may play a role in the provision of valid contact information.</w:t>
      </w:r>
    </w:p>
    <w:p w14:paraId="0BD183A9" w14:textId="77777777" w:rsidR="00C9315D" w:rsidRDefault="003261EC">
      <w:pPr>
        <w:spacing w:before="240" w:after="120"/>
        <w:rPr>
          <w:color w:val="222222"/>
        </w:rPr>
      </w:pPr>
      <w:r>
        <w:rPr>
          <w:color w:val="222222"/>
        </w:rPr>
        <w:t>2. Corrective Methods</w:t>
      </w:r>
    </w:p>
    <w:p w14:paraId="7FB4976C" w14:textId="77777777" w:rsidR="00C9315D" w:rsidRDefault="003261EC">
      <w:pPr>
        <w:numPr>
          <w:ilvl w:val="0"/>
          <w:numId w:val="14"/>
        </w:numPr>
        <w:spacing w:before="240"/>
        <w:rPr>
          <w:color w:val="222222"/>
        </w:rPr>
      </w:pPr>
      <w:r>
        <w:rPr>
          <w:color w:val="222222"/>
        </w:rPr>
        <w:t>For staff engaged in the locating of participants, are some locating protocols (steps of tracking) more effective or more efficient than others? No known research engages in comparative analyses.</w:t>
      </w:r>
    </w:p>
    <w:p w14:paraId="4E2210CE" w14:textId="77777777" w:rsidR="00C9315D" w:rsidRDefault="003261EC">
      <w:pPr>
        <w:numPr>
          <w:ilvl w:val="0"/>
          <w:numId w:val="14"/>
        </w:numPr>
        <w:spacing w:before="240"/>
        <w:rPr>
          <w:color w:val="222222"/>
        </w:rPr>
      </w:pPr>
      <w:r>
        <w:rPr>
          <w:color w:val="222222"/>
        </w:rPr>
        <w:t>Are the order of tracking steps best left to the determination of staff members or does prescribing steps improve or reduce efficiency and effectiveness? Little is known about what determines the tracking steps or how often steps are followed. Additional process evaluation may be relevant to attrition methodology.</w:t>
      </w:r>
    </w:p>
    <w:p w14:paraId="0BEB915F" w14:textId="77777777" w:rsidR="00C9315D" w:rsidRDefault="003261EC">
      <w:pPr>
        <w:numPr>
          <w:ilvl w:val="0"/>
          <w:numId w:val="14"/>
        </w:numPr>
        <w:spacing w:before="240"/>
        <w:rPr>
          <w:color w:val="222222"/>
        </w:rPr>
      </w:pPr>
      <w:r>
        <w:rPr>
          <w:color w:val="222222"/>
        </w:rPr>
        <w:lastRenderedPageBreak/>
        <w:t>How accurate are the various resources in yielding accurate contact information (Melissa Searches, Accurint, etc.)? The rates of effectiveness and for whom these resources are most effective has not been investigated.</w:t>
      </w:r>
    </w:p>
    <w:p w14:paraId="67349784" w14:textId="77777777" w:rsidR="00C9315D" w:rsidRDefault="003261EC">
      <w:pPr>
        <w:numPr>
          <w:ilvl w:val="0"/>
          <w:numId w:val="14"/>
        </w:numPr>
        <w:spacing w:after="120"/>
        <w:rPr>
          <w:color w:val="222222"/>
        </w:rPr>
      </w:pPr>
      <w:r>
        <w:rPr>
          <w:color w:val="222222"/>
        </w:rPr>
        <w:t>How effective are methods for identifying deaths in longitudinal studies? The main methods include linking death records, contacting informants, and online research (e.g. obituaries) but there is not a comparison with respect to accuracy.</w:t>
      </w:r>
    </w:p>
    <w:p w14:paraId="67A59105" w14:textId="77777777" w:rsidR="00C9315D" w:rsidRDefault="00C9315D">
      <w:pPr>
        <w:spacing w:before="240" w:after="120"/>
        <w:rPr>
          <w:b/>
          <w:bCs/>
          <w:color w:val="222222"/>
        </w:rPr>
      </w:pPr>
    </w:p>
    <w:p w14:paraId="55B96680" w14:textId="77777777" w:rsidR="00C9315D" w:rsidRDefault="003261EC">
      <w:pPr>
        <w:pBdr>
          <w:top w:val="nil"/>
          <w:left w:val="nil"/>
          <w:bottom w:val="nil"/>
          <w:right w:val="nil"/>
          <w:between w:val="nil"/>
        </w:pBdr>
        <w:spacing w:before="240" w:after="120"/>
        <w:ind w:firstLine="720"/>
        <w:rPr>
          <w:b/>
          <w:bCs/>
          <w:color w:val="222222"/>
        </w:rPr>
      </w:pPr>
      <w:r>
        <w:rPr>
          <w:b/>
          <w:bCs/>
          <w:color w:val="222222"/>
        </w:rPr>
        <w:t>3.2 Contact-Related Methods</w:t>
      </w:r>
    </w:p>
    <w:p w14:paraId="449E15BD" w14:textId="77777777" w:rsidR="00C9315D" w:rsidRDefault="003261EC">
      <w:pPr>
        <w:pBdr>
          <w:top w:val="nil"/>
          <w:left w:val="nil"/>
          <w:bottom w:val="nil"/>
          <w:right w:val="nil"/>
          <w:between w:val="nil"/>
        </w:pBdr>
        <w:spacing w:before="240" w:after="120"/>
        <w:rPr>
          <w:color w:val="222222"/>
        </w:rPr>
      </w:pPr>
      <w:r>
        <w:rPr>
          <w:color w:val="222222"/>
        </w:rPr>
        <w:t xml:space="preserve">In this section we describe methods for contacting panel members with the goal of gaining their participation for another wave of the panel study. </w:t>
      </w:r>
    </w:p>
    <w:p w14:paraId="7FB4DA4F" w14:textId="77777777" w:rsidR="00C9315D" w:rsidRDefault="003261EC">
      <w:pPr>
        <w:pBdr>
          <w:top w:val="nil"/>
          <w:left w:val="nil"/>
          <w:bottom w:val="nil"/>
          <w:right w:val="nil"/>
          <w:between w:val="nil"/>
        </w:pBdr>
        <w:spacing w:before="240" w:after="120"/>
        <w:ind w:left="720" w:firstLine="720"/>
        <w:rPr>
          <w:color w:val="222222"/>
        </w:rPr>
      </w:pPr>
      <w:r>
        <w:rPr>
          <w:color w:val="222222"/>
        </w:rPr>
        <w:t>a.  Modes of Contact</w:t>
      </w:r>
    </w:p>
    <w:p w14:paraId="5828030E" w14:textId="77777777" w:rsidR="00C9315D" w:rsidRDefault="003261EC">
      <w:pPr>
        <w:pBdr>
          <w:top w:val="nil"/>
          <w:left w:val="nil"/>
          <w:bottom w:val="nil"/>
          <w:right w:val="nil"/>
          <w:between w:val="nil"/>
        </w:pBdr>
        <w:spacing w:before="240" w:after="120"/>
        <w:rPr>
          <w:color w:val="222222"/>
        </w:rPr>
      </w:pPr>
      <w:r>
        <w:rPr>
          <w:color w:val="222222"/>
        </w:rPr>
        <w:t xml:space="preserve">Multimode strategies for panel member contact have become more common in the effort to gain cooperation and reduce attrition in longitudinal studies. That is, as large, longitudinal studies have increasingly transitioned to multimode data collection methods (e.g., web-based, in addition to telephone and/or in-person), contact strategies have transitioned as well to include text messaging and emails in addition to postal mailings and in-person contacts. </w:t>
      </w:r>
    </w:p>
    <w:p w14:paraId="120A21C1" w14:textId="77777777" w:rsidR="00C9315D" w:rsidRDefault="003261EC">
      <w:pPr>
        <w:spacing w:before="240" w:after="120"/>
        <w:rPr>
          <w:color w:val="222222"/>
        </w:rPr>
      </w:pPr>
      <w:r>
        <w:rPr>
          <w:color w:val="222222"/>
        </w:rPr>
        <w:t>Observationally, longitudinal studies often report higher response rates among respondents who have provided email addresses in comparison to those who have not (Kistler et al. 2023). However, does email messaging enhance response rates, over and above what is expected based on postal messaging? One innovative, experimental study showed that in a mixed-mode survey context (i.e., web-based and in-person), email messaging did not improve participation rates above and beyond postal messaging (Cernat and Lynn 2017). However, one important caveat to the study results is that those who received email messaging were more likely to respond to the survey in the web-based format, thus reducing costs of the study.</w:t>
      </w:r>
    </w:p>
    <w:p w14:paraId="29BDB1A5" w14:textId="77777777" w:rsidR="00C9315D" w:rsidRDefault="003261EC">
      <w:pPr>
        <w:pBdr>
          <w:top w:val="nil"/>
          <w:left w:val="nil"/>
          <w:bottom w:val="nil"/>
          <w:right w:val="nil"/>
          <w:between w:val="nil"/>
        </w:pBdr>
        <w:spacing w:before="240" w:after="120"/>
        <w:rPr>
          <w:color w:val="222222"/>
        </w:rPr>
      </w:pPr>
      <w:r>
        <w:rPr>
          <w:color w:val="222222"/>
        </w:rPr>
        <w:t xml:space="preserve">Another recent innovative study tested whether text message invitations were useful in gaining cooperation in Wave 11 of Understanding Society, the United Kingdom Household Longitudinal Study (Cabrera-Álvarez and Lynn 2024). Interestingly, the experimental design found that text messages did not increase response rates overall, although some subgroups showed increased response rates. More specifically, respondents who had not provided an email or postal address to the study exhibited an increased response rate if they received a text message invitation. Further, text messaging contacts increased response rates among younger panel members (i.e., &lt;35 years old) and among those who previously had inconsistent response patterns. Thus, it may be the case that text messaging efforts are an important mode of contact for particular subgroups of longitudinal studies, including younger and harder-to-reach individuals. </w:t>
      </w:r>
    </w:p>
    <w:p w14:paraId="6D54DA2F" w14:textId="77777777" w:rsidR="00C9315D" w:rsidRDefault="003261EC">
      <w:pPr>
        <w:pBdr>
          <w:top w:val="nil"/>
          <w:left w:val="nil"/>
          <w:bottom w:val="nil"/>
          <w:right w:val="nil"/>
          <w:between w:val="nil"/>
        </w:pBdr>
        <w:spacing w:before="240" w:after="120"/>
        <w:rPr>
          <w:color w:val="222222"/>
        </w:rPr>
      </w:pPr>
      <w:r>
        <w:rPr>
          <w:color w:val="222222"/>
        </w:rPr>
        <w:t xml:space="preserve">Of course, gathering cell telephone numbers for the purpose of texting and obtaining consent to use them are barriers that must be overcome prior to their use. Using recent data from the Innovation Panel of Understanding Society: The UK Household Longitudinal Study, Vine et al. (2025) showed that most participants (69%) consented to text message contacts upon first </w:t>
      </w:r>
      <w:r>
        <w:rPr>
          <w:color w:val="222222"/>
        </w:rPr>
        <w:lastRenderedPageBreak/>
        <w:t>being asked, while an additional 55% of those who initially declined consented when re-asked. Requesting consent for text messaging late in the survey instrument results in modestly higher consent compared with asking early in the survey instrument (Vine et al. 2025). And while text messages are often useful for survey outreach efforts because direct links to the survey can be included in the messages, the messages themselves need to be very short and, thus, cannot contain much study information (Mavletova and Couper 2014). Moreover, text messages in isolation do not seem to be an effective strategy for survey response when used in isolation; indeed, the use of both text messaging and emails is more effective than the use of either mode separately (Marlar 2017).</w:t>
      </w:r>
    </w:p>
    <w:p w14:paraId="6B4335B5" w14:textId="77777777" w:rsidR="00C9315D" w:rsidRDefault="003261EC">
      <w:pPr>
        <w:pBdr>
          <w:top w:val="nil"/>
          <w:left w:val="nil"/>
          <w:bottom w:val="nil"/>
          <w:right w:val="nil"/>
          <w:between w:val="nil"/>
        </w:pBdr>
        <w:spacing w:before="240" w:after="120"/>
        <w:ind w:left="720" w:firstLine="720"/>
        <w:rPr>
          <w:color w:val="222222"/>
        </w:rPr>
      </w:pPr>
      <w:r>
        <w:rPr>
          <w:color w:val="222222"/>
        </w:rPr>
        <w:t>b. Level of Effort</w:t>
      </w:r>
    </w:p>
    <w:p w14:paraId="0C704BAE" w14:textId="77777777" w:rsidR="00C9315D" w:rsidRDefault="003261EC">
      <w:pPr>
        <w:pBdr>
          <w:top w:val="nil"/>
          <w:left w:val="nil"/>
          <w:bottom w:val="nil"/>
          <w:right w:val="nil"/>
          <w:between w:val="nil"/>
        </w:pBdr>
        <w:spacing w:before="240" w:after="120"/>
        <w:rPr>
          <w:color w:val="222222"/>
        </w:rPr>
      </w:pPr>
      <w:r>
        <w:rPr>
          <w:color w:val="222222"/>
        </w:rPr>
        <w:t xml:space="preserve">The whole goal of longitudinal studies is to follow the same participants across time. </w:t>
      </w:r>
      <w:r>
        <w:rPr>
          <w:i/>
          <w:iCs/>
          <w:color w:val="222222"/>
        </w:rPr>
        <w:t>In other words, sample members in longitudinal studies cannot be replaced.</w:t>
      </w:r>
      <w:r>
        <w:rPr>
          <w:color w:val="222222"/>
        </w:rPr>
        <w:t xml:space="preserve"> As such, the level of effort needed to contact sample members, secure continued participation, and minimize attrition in longitudinal studies can and likely should be significantly higher in comparison with other study designs, given the importance of maintaining sample integrity across time. The issue of level of effort may be even more important if, as in many cases, it is important not only to minimize attrition in the overall study, but also to do so across a range of population subgroups who are important to the study’s goals (e.g., among both high and low socioeconomic status groups; among both women and men, etc.).</w:t>
      </w:r>
    </w:p>
    <w:p w14:paraId="4B140D7B" w14:textId="77777777" w:rsidR="00C9315D" w:rsidRDefault="003261EC">
      <w:pPr>
        <w:pBdr>
          <w:top w:val="nil"/>
          <w:left w:val="nil"/>
          <w:bottom w:val="nil"/>
          <w:right w:val="nil"/>
          <w:between w:val="nil"/>
        </w:pBdr>
        <w:spacing w:before="240" w:after="120"/>
        <w:rPr>
          <w:color w:val="222222"/>
        </w:rPr>
      </w:pPr>
      <w:r>
        <w:rPr>
          <w:color w:val="222222"/>
        </w:rPr>
        <w:t xml:space="preserve">The survey methods literature has routinely noted that additional communications with respondents, most often in the form of reminders, generally leads to lower nonresponse regardless of whether the survey was telephone, paper- or web-based (Cook et al. 2009; Dillman 2000). But the level of effort needed to achieve longitudinal survey goals has substantially increased over the last few decades. For example, the mean number of calls that field staff made to sample members in the Panel Study of Income Dynamics in each wave increased from 2-3 in the 1960s-1970s to 17-21 in the late 2010s and early 2020s (Institute for Social Research 2025). Little is known about the impact of different levels of attempted contact when this is conducted in multiple modes. That is, does the specific combination of telephone calls, emails, and text messages matter for the final outcome? </w:t>
      </w:r>
    </w:p>
    <w:p w14:paraId="5B55F528" w14:textId="77777777" w:rsidR="00C9315D" w:rsidRDefault="003261EC">
      <w:pPr>
        <w:pBdr>
          <w:top w:val="nil"/>
          <w:left w:val="nil"/>
          <w:bottom w:val="nil"/>
          <w:right w:val="nil"/>
          <w:between w:val="nil"/>
        </w:pBdr>
        <w:spacing w:before="240" w:after="120"/>
        <w:rPr>
          <w:color w:val="222222"/>
        </w:rPr>
      </w:pPr>
      <w:r>
        <w:rPr>
          <w:color w:val="222222"/>
        </w:rPr>
        <w:t xml:space="preserve">Recent literature has also stressed that the level of effort needed to achieve study goals and reduce attrition may require targeting higher levels of effort toward particular subgroups compared with others. In mixed-mode longitudinal study designs, for example, “web-first” approaches have yielded high-quality survey responses at low cost in comparison with telephone- or in-person-first approaches (Biemer et al. 2022; Millar and Dillman 2011; Sastry and McGonagle 2022). Consequently, higher levels of effort and additional resources can be devoted to increasing response rates among harder-to-reach subpopulations. Biemer et al. (2022), for example, described how Wave V of Add Health employed a web-first approach followed by an in-person non-response follow-up (NRFU) strategy, with the NRFU effort targeted toward those who are most important in fulfilling study goals. While adding substantial costs, the NRFU effort significantly reduced non-response bias and attrition among subgroups different from those who were most likely to respond to the cheaper web-based survey. As </w:t>
      </w:r>
      <w:r>
        <w:rPr>
          <w:color w:val="222222"/>
        </w:rPr>
        <w:lastRenderedPageBreak/>
        <w:t>such, this two-phase strategy–web-first followed by strategic NRFU–is an important example of tailoring resources and related effort toward improving retention and achieving study goals.</w:t>
      </w:r>
    </w:p>
    <w:p w14:paraId="0BAAF8B2" w14:textId="77777777" w:rsidR="00C9315D" w:rsidRDefault="003261EC">
      <w:pPr>
        <w:pBdr>
          <w:top w:val="nil"/>
          <w:left w:val="nil"/>
          <w:bottom w:val="nil"/>
          <w:right w:val="nil"/>
          <w:between w:val="nil"/>
        </w:pBdr>
        <w:spacing w:before="240" w:after="120"/>
        <w:ind w:left="720" w:firstLine="720"/>
        <w:rPr>
          <w:color w:val="222222"/>
        </w:rPr>
      </w:pPr>
      <w:r>
        <w:br w:type="page"/>
      </w:r>
    </w:p>
    <w:p w14:paraId="39136D20" w14:textId="77777777" w:rsidR="00C9315D" w:rsidRDefault="003261EC">
      <w:pPr>
        <w:pBdr>
          <w:top w:val="nil"/>
          <w:left w:val="nil"/>
          <w:bottom w:val="nil"/>
          <w:right w:val="nil"/>
          <w:between w:val="nil"/>
        </w:pBdr>
        <w:spacing w:before="240" w:after="120"/>
        <w:ind w:left="720" w:firstLine="720"/>
        <w:rPr>
          <w:color w:val="222222"/>
        </w:rPr>
      </w:pPr>
      <w:r>
        <w:rPr>
          <w:color w:val="222222"/>
        </w:rPr>
        <w:lastRenderedPageBreak/>
        <w:t>c. Visible Cash</w:t>
      </w:r>
    </w:p>
    <w:p w14:paraId="394E41C3" w14:textId="77777777" w:rsidR="00C9315D" w:rsidRDefault="003261EC">
      <w:pPr>
        <w:pBdr>
          <w:top w:val="nil"/>
          <w:left w:val="nil"/>
          <w:bottom w:val="nil"/>
          <w:right w:val="nil"/>
          <w:between w:val="nil"/>
        </w:pBdr>
        <w:spacing w:before="240" w:after="120"/>
        <w:rPr>
          <w:color w:val="222222"/>
        </w:rPr>
      </w:pPr>
      <w:r>
        <w:rPr>
          <w:color w:val="222222"/>
        </w:rPr>
        <w:t>One possible strategy to reduce attrition in longitudinal studies is to place visible cash in a windowed envelope, either in the initial invitation to participate in a survey wave or at some point in the set of reminders that are issued. Several recent survey-based experiments have continued to document the benefits of visible cash across a number of study designs and contexts. For example, Bilgen et al. (2024) recently devised several experiments testing the size of the envelope (small, large), location of the window (none, front, back), content of the cash image (numeric amount, face), and various cash amounts (two $1, one $2, one $5) in recruiting participants for the NORC AmeriSpeak Panel. Their results were encouraging: higher amounts of cash that displayed the amount of money in windowed envelopes led to increased participation. Moreover, costs of the study effort did not increase. Similarly, DeBell (2023) has shown the effectiveness of windowed cash incentives up to $10 for improving recruitment. At the same time, DeBell (2023) also showed that visible cash did not reduce attrition for participants who had been recently interviewed or those among whom earlier wave participation was frequent. Thus, longitudinal studies with high participation rates across waves may not benefit from windowed cash incentives, although the retention of some subgroups (e.g., nonparticipants in recent waves) may in fact benefit from visible cash incentives.</w:t>
      </w:r>
    </w:p>
    <w:p w14:paraId="0A3DA737" w14:textId="77777777" w:rsidR="00C9315D" w:rsidRDefault="003261EC">
      <w:pPr>
        <w:spacing w:before="240" w:after="120"/>
        <w:ind w:left="720" w:firstLine="720"/>
        <w:rPr>
          <w:color w:val="222222"/>
        </w:rPr>
      </w:pPr>
      <w:r>
        <w:rPr>
          <w:color w:val="222222"/>
        </w:rPr>
        <w:t>d. Frequency of Contact</w:t>
      </w:r>
    </w:p>
    <w:p w14:paraId="7A44A67E" w14:textId="77777777" w:rsidR="00C9315D" w:rsidRDefault="003261EC">
      <w:pPr>
        <w:spacing w:before="240"/>
        <w:rPr>
          <w:color w:val="222222"/>
        </w:rPr>
      </w:pPr>
      <w:r>
        <w:rPr>
          <w:color w:val="222222"/>
        </w:rPr>
        <w:t>Frequent waves can help maintain contact with participants. However, it may also lead to reductions in cooperation (see “Frequency of Data Collection” in the “Cooperation-Related Methods” Section). Frequent contact may also show up in reduced contact rates. For instance, some have speculated that “over-surveying” of the population may be a cause of systemic nonresponse to participation requests (Brick and WIlliams, 2013; Ghafourifard 2024). Perceived burden, which is largely viewed in relation to participation refusal or failure to complete study activities can also be a reason for participants to engage in contact avoidance.</w:t>
      </w:r>
    </w:p>
    <w:p w14:paraId="36B434D9" w14:textId="77777777" w:rsidR="00C9315D" w:rsidRDefault="003261EC">
      <w:pPr>
        <w:pBdr>
          <w:top w:val="nil"/>
          <w:left w:val="nil"/>
          <w:bottom w:val="nil"/>
          <w:right w:val="nil"/>
          <w:between w:val="nil"/>
        </w:pBdr>
        <w:spacing w:before="240" w:after="120"/>
        <w:rPr>
          <w:i/>
          <w:iCs/>
          <w:color w:val="222222"/>
          <w:u w:val="single"/>
        </w:rPr>
      </w:pPr>
      <w:r>
        <w:rPr>
          <w:i/>
          <w:iCs/>
          <w:color w:val="222222"/>
          <w:u w:val="single"/>
        </w:rPr>
        <w:t>Summary of Contact Strategies</w:t>
      </w:r>
    </w:p>
    <w:p w14:paraId="3A5C3316" w14:textId="77777777" w:rsidR="00C9315D" w:rsidRDefault="003261EC">
      <w:pPr>
        <w:pBdr>
          <w:top w:val="nil"/>
          <w:left w:val="nil"/>
          <w:bottom w:val="nil"/>
          <w:right w:val="nil"/>
          <w:between w:val="nil"/>
        </w:pBdr>
        <w:spacing w:before="240" w:after="120"/>
        <w:rPr>
          <w:color w:val="222222"/>
        </w:rPr>
      </w:pPr>
      <w:r>
        <w:rPr>
          <w:color w:val="222222"/>
        </w:rPr>
        <w:t>In this section, we started from the assumption that we have accurate contact information for panel members. That is, they have been located. Then, the next step in the data collection process requires that we contact them. Effective strategies integrate multiple elements: contact materials that reflect participants’ interests and values. In aging studies, where attrition risk is high, integrating practical maintenance with relational communication is essential for sustaining participation over time. We discussed how using multiple modes – including SMS, mail, email, telephone, and in-person – may be an effective tool given the heterogeneity of samples. We also discussed how the level of effort might be targeted or allocated at a higher rate to cases that are more difficult to contact. Visible cash incentives are an emerging method that seem to be effective in establishing contact – although the evidence is mainly only visible through observed participation rates.</w:t>
      </w:r>
    </w:p>
    <w:p w14:paraId="7E20AD0D" w14:textId="77777777" w:rsidR="00C9315D" w:rsidRDefault="003261EC">
      <w:pPr>
        <w:pBdr>
          <w:top w:val="nil"/>
          <w:left w:val="nil"/>
          <w:bottom w:val="nil"/>
          <w:right w:val="nil"/>
          <w:between w:val="nil"/>
        </w:pBdr>
        <w:spacing w:before="240" w:after="120"/>
        <w:rPr>
          <w:i/>
          <w:iCs/>
          <w:color w:val="222222"/>
          <w:u w:val="single"/>
        </w:rPr>
      </w:pPr>
      <w:r>
        <w:br w:type="page"/>
      </w:r>
    </w:p>
    <w:p w14:paraId="469BD8AA" w14:textId="77777777" w:rsidR="00C9315D" w:rsidRDefault="003261EC">
      <w:pPr>
        <w:pBdr>
          <w:top w:val="nil"/>
          <w:left w:val="nil"/>
          <w:bottom w:val="nil"/>
          <w:right w:val="nil"/>
          <w:between w:val="nil"/>
        </w:pBdr>
        <w:spacing w:before="240" w:after="120"/>
        <w:rPr>
          <w:i/>
          <w:iCs/>
          <w:color w:val="222222"/>
          <w:u w:val="single"/>
        </w:rPr>
      </w:pPr>
      <w:r>
        <w:rPr>
          <w:i/>
          <w:iCs/>
          <w:color w:val="222222"/>
          <w:u w:val="single"/>
        </w:rPr>
        <w:lastRenderedPageBreak/>
        <w:t>Open Questions and Gaps in Knowledge</w:t>
      </w:r>
    </w:p>
    <w:p w14:paraId="63D3BEDB" w14:textId="77777777" w:rsidR="00C9315D" w:rsidRDefault="003261EC">
      <w:pPr>
        <w:spacing w:before="240" w:after="120"/>
        <w:rPr>
          <w:color w:val="222222"/>
        </w:rPr>
      </w:pPr>
      <w:r>
        <w:rPr>
          <w:color w:val="222222"/>
        </w:rPr>
        <w:t>1. Effectiveness and Design of Contact Strategies (similar to location strategies)</w:t>
      </w:r>
    </w:p>
    <w:p w14:paraId="4D4DD43D" w14:textId="77777777" w:rsidR="00C9315D" w:rsidRDefault="003261EC">
      <w:pPr>
        <w:numPr>
          <w:ilvl w:val="0"/>
          <w:numId w:val="19"/>
        </w:numPr>
        <w:rPr>
          <w:color w:val="222222"/>
        </w:rPr>
      </w:pPr>
      <w:r>
        <w:rPr>
          <w:color w:val="222222"/>
        </w:rPr>
        <w:t>What specific design features (e.g., visual design, personalization, content type, length) make email and mail invitations effective or ineffective and how do these differ across age, gender, education, or cultural contexts? Research is needed to address these recommendations in terms of comparative effectiveness and applicability across contexts.</w:t>
      </w:r>
    </w:p>
    <w:p w14:paraId="3DD40B97" w14:textId="77777777" w:rsidR="00C9315D" w:rsidRDefault="003261EC">
      <w:pPr>
        <w:numPr>
          <w:ilvl w:val="0"/>
          <w:numId w:val="19"/>
        </w:numPr>
        <w:rPr>
          <w:color w:val="222222"/>
        </w:rPr>
      </w:pPr>
      <w:r>
        <w:rPr>
          <w:color w:val="222222"/>
        </w:rPr>
        <w:t>What specific design features are most effective when reaching out to contact persons? Feedback from study participants would be useful in determining which strategies increased or decreased the likelihood of response to contact.</w:t>
      </w:r>
    </w:p>
    <w:p w14:paraId="0ACD7B1F" w14:textId="77777777" w:rsidR="00C9315D" w:rsidRDefault="003261EC">
      <w:pPr>
        <w:numPr>
          <w:ilvl w:val="0"/>
          <w:numId w:val="19"/>
        </w:numPr>
        <w:rPr>
          <w:color w:val="222222"/>
        </w:rPr>
      </w:pPr>
      <w:r>
        <w:rPr>
          <w:color w:val="222222"/>
        </w:rPr>
        <w:t>Is it possible to use targeted modes? There is a lack of research on effective modes for subgroups in the study population.</w:t>
      </w:r>
    </w:p>
    <w:p w14:paraId="07F910E2" w14:textId="77777777" w:rsidR="00C9315D" w:rsidRDefault="003261EC">
      <w:pPr>
        <w:numPr>
          <w:ilvl w:val="0"/>
          <w:numId w:val="19"/>
        </w:numPr>
        <w:spacing w:after="240"/>
        <w:rPr>
          <w:color w:val="222222"/>
        </w:rPr>
      </w:pPr>
      <w:r>
        <w:rPr>
          <w:color w:val="222222"/>
        </w:rPr>
        <w:t>Can AI facilitate the design and targeting of contact strategies and targeted modes and if so, how? The integration of AI in participant contact is rarely discussed but one avenue for potential exploration.</w:t>
      </w:r>
    </w:p>
    <w:p w14:paraId="79095F8D" w14:textId="77777777" w:rsidR="00C9315D" w:rsidRDefault="003261EC">
      <w:pPr>
        <w:spacing w:before="240" w:after="120"/>
        <w:rPr>
          <w:color w:val="222222"/>
        </w:rPr>
      </w:pPr>
      <w:r>
        <w:rPr>
          <w:color w:val="222222"/>
        </w:rPr>
        <w:t>2. Digitalization and New Modes</w:t>
      </w:r>
    </w:p>
    <w:p w14:paraId="77A39FED" w14:textId="77777777" w:rsidR="00C9315D" w:rsidRDefault="003261EC">
      <w:pPr>
        <w:numPr>
          <w:ilvl w:val="0"/>
          <w:numId w:val="5"/>
        </w:numPr>
        <w:ind w:left="720"/>
        <w:rPr>
          <w:color w:val="222222"/>
        </w:rPr>
      </w:pPr>
      <w:r>
        <w:rPr>
          <w:color w:val="222222"/>
        </w:rPr>
        <w:t>How do digital strategies (emails, apps, SMS, social media) compare to traditional mailings, in particular for older respondents? Research is needed to compare strategies more broadly but also among subgroups, which may inform targeted strategies.</w:t>
      </w:r>
    </w:p>
    <w:p w14:paraId="5B3B431A" w14:textId="77777777" w:rsidR="00C9315D" w:rsidRDefault="003261EC">
      <w:pPr>
        <w:numPr>
          <w:ilvl w:val="0"/>
          <w:numId w:val="5"/>
        </w:numPr>
        <w:spacing w:after="360"/>
        <w:ind w:left="720"/>
        <w:rPr>
          <w:color w:val="222222"/>
        </w:rPr>
      </w:pPr>
      <w:r>
        <w:rPr>
          <w:color w:val="222222"/>
        </w:rPr>
        <w:t>Can hybrid strategies (digital + postal) improve contact without increasing inequality in response rates? Research is needed that integrates modes and compares response rates across singular and additive strategies.</w:t>
      </w:r>
    </w:p>
    <w:p w14:paraId="0B8A2DF7" w14:textId="77777777" w:rsidR="00C9315D" w:rsidRDefault="003261EC">
      <w:pPr>
        <w:spacing w:after="360"/>
        <w:rPr>
          <w:color w:val="222222"/>
        </w:rPr>
      </w:pPr>
      <w:r>
        <w:rPr>
          <w:color w:val="222222"/>
        </w:rPr>
        <w:t>3. Level of Effort</w:t>
      </w:r>
    </w:p>
    <w:p w14:paraId="4F121753" w14:textId="77777777" w:rsidR="00C9315D" w:rsidRDefault="003261EC">
      <w:pPr>
        <w:numPr>
          <w:ilvl w:val="0"/>
          <w:numId w:val="13"/>
        </w:numPr>
        <w:ind w:left="720"/>
        <w:rPr>
          <w:color w:val="222222"/>
        </w:rPr>
      </w:pPr>
      <w:r>
        <w:rPr>
          <w:color w:val="222222"/>
        </w:rPr>
        <w:t>How do we select the best approach(es)? There is some evidence that allocating effort differentially across cases can be effective in controlling bias. Multiple different approaches have been proposed, but no comparisons have been made.</w:t>
      </w:r>
    </w:p>
    <w:p w14:paraId="0415A6A5" w14:textId="77777777" w:rsidR="00C9315D" w:rsidRDefault="003261EC">
      <w:pPr>
        <w:numPr>
          <w:ilvl w:val="0"/>
          <w:numId w:val="13"/>
        </w:numPr>
        <w:spacing w:after="360"/>
        <w:ind w:left="720"/>
        <w:rPr>
          <w:color w:val="222222"/>
        </w:rPr>
      </w:pPr>
      <w:r>
        <w:rPr>
          <w:color w:val="222222"/>
        </w:rPr>
        <w:t xml:space="preserve">How does increasing effort compare to alternative uses of the same funds (e.g., additional incentives)? Studies on cost-effectiveness would augment the study of attrition and effectiveness of strategies.   </w:t>
      </w:r>
    </w:p>
    <w:p w14:paraId="4DA6B319" w14:textId="77777777" w:rsidR="00C9315D" w:rsidRDefault="003261EC">
      <w:pPr>
        <w:spacing w:before="240" w:after="120"/>
        <w:rPr>
          <w:color w:val="222222"/>
        </w:rPr>
      </w:pPr>
      <w:r>
        <w:rPr>
          <w:color w:val="222222"/>
        </w:rPr>
        <w:t>4. Visible Cash</w:t>
      </w:r>
    </w:p>
    <w:p w14:paraId="0F31B7E7" w14:textId="77777777" w:rsidR="00C9315D" w:rsidRDefault="003261EC">
      <w:pPr>
        <w:numPr>
          <w:ilvl w:val="0"/>
          <w:numId w:val="3"/>
        </w:numPr>
        <w:spacing w:before="240" w:after="120"/>
        <w:rPr>
          <w:color w:val="222222"/>
        </w:rPr>
      </w:pPr>
      <w:r>
        <w:rPr>
          <w:color w:val="222222"/>
        </w:rPr>
        <w:t>How does this method operate? Is it increasing contact or is it increasing cooperation? Contact would be increased if more envelopes were opened and the contents read. Participation would be improved if the same number of people opened the envelope and a larger number decided to participate</w:t>
      </w:r>
    </w:p>
    <w:p w14:paraId="0168C907" w14:textId="77777777" w:rsidR="00C9315D" w:rsidRDefault="003261EC">
      <w:pPr>
        <w:spacing w:before="240" w:after="120"/>
        <w:rPr>
          <w:color w:val="222222"/>
        </w:rPr>
      </w:pPr>
      <w:r>
        <w:br w:type="page"/>
      </w:r>
    </w:p>
    <w:p w14:paraId="2BF4B62F" w14:textId="77777777" w:rsidR="00C9315D" w:rsidRDefault="003261EC">
      <w:pPr>
        <w:spacing w:before="240" w:after="120"/>
        <w:rPr>
          <w:color w:val="222222"/>
        </w:rPr>
      </w:pPr>
      <w:r>
        <w:rPr>
          <w:color w:val="222222"/>
        </w:rPr>
        <w:lastRenderedPageBreak/>
        <w:t>5. Burden</w:t>
      </w:r>
    </w:p>
    <w:p w14:paraId="65FDFC18" w14:textId="77777777" w:rsidR="00C9315D" w:rsidRDefault="003261EC">
      <w:pPr>
        <w:numPr>
          <w:ilvl w:val="0"/>
          <w:numId w:val="3"/>
        </w:numPr>
        <w:spacing w:before="240" w:after="120"/>
        <w:rPr>
          <w:color w:val="222222"/>
        </w:rPr>
      </w:pPr>
      <w:r>
        <w:rPr>
          <w:color w:val="222222"/>
        </w:rPr>
        <w:t>How does participant cumulative burden affect the willingness of participants to respond when contacted by studies? Little is known regarding contact avoidance in relation to participant burden (e.g., frequency of contact, length of questionnaire, etc.) in contrast to its association with cooperation. It is important to distinguish between if the same factors affecting cooperation (see below) also lead to non-response.</w:t>
      </w:r>
    </w:p>
    <w:p w14:paraId="5BBD13F3" w14:textId="77777777" w:rsidR="00C9315D" w:rsidRDefault="00C9315D">
      <w:pPr>
        <w:pBdr>
          <w:top w:val="nil"/>
          <w:left w:val="nil"/>
          <w:bottom w:val="nil"/>
          <w:right w:val="nil"/>
          <w:between w:val="nil"/>
        </w:pBdr>
        <w:spacing w:before="240" w:after="120"/>
        <w:ind w:firstLine="720"/>
        <w:rPr>
          <w:b/>
          <w:bCs/>
          <w:color w:val="222222"/>
        </w:rPr>
      </w:pPr>
    </w:p>
    <w:p w14:paraId="7FB330BC" w14:textId="77777777" w:rsidR="00C9315D" w:rsidRDefault="003261EC">
      <w:pPr>
        <w:pBdr>
          <w:top w:val="nil"/>
          <w:left w:val="nil"/>
          <w:bottom w:val="nil"/>
          <w:right w:val="nil"/>
          <w:between w:val="nil"/>
        </w:pBdr>
        <w:spacing w:before="240" w:after="120"/>
        <w:ind w:firstLine="720"/>
        <w:rPr>
          <w:b/>
          <w:bCs/>
          <w:color w:val="222222"/>
        </w:rPr>
      </w:pPr>
      <w:r>
        <w:rPr>
          <w:b/>
          <w:bCs/>
          <w:color w:val="222222"/>
        </w:rPr>
        <w:t>3.3 Cooperation-Related Methods</w:t>
      </w:r>
    </w:p>
    <w:p w14:paraId="186185E0" w14:textId="77777777" w:rsidR="00C9315D" w:rsidRDefault="003261EC">
      <w:pPr>
        <w:spacing w:before="240" w:after="120"/>
        <w:rPr>
          <w:color w:val="222222"/>
        </w:rPr>
      </w:pPr>
      <w:r>
        <w:rPr>
          <w:color w:val="222222"/>
        </w:rPr>
        <w:t>There are several reasons why attrition can occur after contact has been established. These include a refusal to participate in study activities at the given wave or a failure to complete the study activities before the end of the field period for data collection (i.e., incomplete). Reasons for refusal or failure to complete study activities include disinterest, participation fatigue and burden, perceived lack of utility of the study, and an inability to complete study activities due to health or other time-obligations. An additional reason for non-cooperation is a language barrier. Participants who speak a language other than that/those in which the questionnaire is offered is a failure of the research design to offer study activities in all languages spoken by participants. In this section, we focus on the reasons for participation refusal or the failure to complete study activities before the end of the field period, and the strategies that can be implemented to address these sources of attrition.</w:t>
      </w:r>
    </w:p>
    <w:p w14:paraId="7059934D" w14:textId="77777777" w:rsidR="00C9315D" w:rsidRDefault="003261EC">
      <w:pPr>
        <w:numPr>
          <w:ilvl w:val="0"/>
          <w:numId w:val="7"/>
        </w:numPr>
        <w:pBdr>
          <w:top w:val="nil"/>
          <w:left w:val="nil"/>
          <w:bottom w:val="nil"/>
          <w:right w:val="nil"/>
          <w:between w:val="nil"/>
        </w:pBdr>
        <w:spacing w:before="240" w:after="120"/>
        <w:rPr>
          <w:color w:val="222222"/>
        </w:rPr>
      </w:pPr>
      <w:r>
        <w:rPr>
          <w:color w:val="222222"/>
        </w:rPr>
        <w:t>Respondent Experience of Prior Waves</w:t>
      </w:r>
    </w:p>
    <w:p w14:paraId="3774E244" w14:textId="77777777" w:rsidR="00C9315D" w:rsidRDefault="003261EC">
      <w:pPr>
        <w:spacing w:before="240"/>
        <w:rPr>
          <w:color w:val="222222"/>
        </w:rPr>
      </w:pPr>
      <w:r>
        <w:rPr>
          <w:color w:val="222222"/>
        </w:rPr>
        <w:t xml:space="preserve">In longitudinal surveys, each subsequent data collection request builds upon the respondent’s prior participation. Consequently, recalled participant burden and recalled attitudes regarding previous involvement play a critical role in how respondents evaluate the burden of a new request to participate, which affects participation. According to the </w:t>
      </w:r>
      <w:r>
        <w:rPr>
          <w:i/>
          <w:iCs/>
          <w:color w:val="222222"/>
        </w:rPr>
        <w:t>Response Burden Framework</w:t>
      </w:r>
      <w:r>
        <w:rPr>
          <w:color w:val="222222"/>
        </w:rPr>
        <w:t xml:space="preserve"> (Yan &amp; Williams, 2022), a higher level of perceived continued burden increases the likelihood of attrition. The framework postulates various questionnaire design features that contribute to continued burden and the cumulative burden that respondents experience after starting the data collection activities. For example, a lengthy survey in an earlier wave may heighten perceptions of cumulative burden, which in turn amplifies perceived continued burden when respondents are approached (See “Length of Instrument in Current Wave” section). Similarly, cognitively demanding or sensitive questions may increase cumulative burden, leading to reluctance in future participation.</w:t>
      </w:r>
    </w:p>
    <w:p w14:paraId="1A1916C2" w14:textId="77777777" w:rsidR="00C9315D" w:rsidRDefault="003261EC">
      <w:pPr>
        <w:spacing w:before="240"/>
        <w:ind w:left="2160" w:firstLine="720"/>
        <w:rPr>
          <w:i/>
          <w:iCs/>
          <w:color w:val="222222"/>
        </w:rPr>
      </w:pPr>
      <w:r>
        <w:rPr>
          <w:i/>
          <w:iCs/>
          <w:color w:val="222222"/>
        </w:rPr>
        <w:t>i. Frequency of Data Collection</w:t>
      </w:r>
    </w:p>
    <w:p w14:paraId="4F8AD1F7" w14:textId="77777777" w:rsidR="00C9315D" w:rsidRDefault="003261EC">
      <w:pPr>
        <w:spacing w:before="240"/>
        <w:rPr>
          <w:color w:val="222222"/>
        </w:rPr>
      </w:pPr>
      <w:r>
        <w:rPr>
          <w:color w:val="222222"/>
        </w:rPr>
        <w:t xml:space="preserve">More frequent data collection efforts (e.g., surveys, interviews, etc.) have had mixed results with respect to perceived participant burden and attrition. Eggleston (2024) reported that participants were less likely to respond to the 2020 Census if a prior survey (requested by another organization) had been reached out for participation and the nature and content of the survey was similar to the Census. Relatedly, in a review focusing on undergraduate survey </w:t>
      </w:r>
      <w:r>
        <w:rPr>
          <w:color w:val="222222"/>
        </w:rPr>
        <w:lastRenderedPageBreak/>
        <w:t xml:space="preserve">participation, Fass-Holmes (2022) found that participation rates decreased when students received more survey invitations per semester. Focusing on the research design of the study itself, Zabel et al. (1998) found that surveys with more waves or higher-frequency interviews experienced higher attrition rates.  </w:t>
      </w:r>
    </w:p>
    <w:p w14:paraId="1BA5C122" w14:textId="77777777" w:rsidR="00C9315D" w:rsidRDefault="003261EC">
      <w:pPr>
        <w:spacing w:before="240"/>
        <w:rPr>
          <w:color w:val="222222"/>
        </w:rPr>
      </w:pPr>
      <w:r>
        <w:rPr>
          <w:color w:val="222222"/>
        </w:rPr>
        <w:t xml:space="preserve">A recent app-based survey by Zhang et al. (2025) demonstrated that administering shorter surveys every two weeks, rather than full-length surveys every four weeks, was associated with higher, sustained response rates. This suggests that more frequent but less burdensome data collection schedules may help mitigate participation fatigue and improve data quality. Alternatively, Saw (2025) observed no overall significant differences in participation rates between low- and high-frequency groups (receiving survey invitations every four versus two weeks). However, effects varied by socioeconomic status: employed and higher-SES participants responded to more frequent requests, while lower-SES groups showed no differences. </w:t>
      </w:r>
    </w:p>
    <w:p w14:paraId="40EEE502" w14:textId="77777777" w:rsidR="00C9315D" w:rsidRDefault="003261EC">
      <w:pPr>
        <w:spacing w:before="240"/>
        <w:rPr>
          <w:color w:val="222222"/>
        </w:rPr>
      </w:pPr>
      <w:r>
        <w:rPr>
          <w:color w:val="222222"/>
        </w:rPr>
        <w:t xml:space="preserve">Implementing a different design strategy, Toepoel and Lugtig (2022) found both higher response and higher dropout rates when data collection was cut into several pieces (modular or matrix design). While their results suggest better data quality in modular surveys, there was not increased survey participation when reducing the number of surveys requested. Peytchev et al. (2020) report similar results. Another consequence of this strategy is that data analyses become more complex because of different missing data patterns in modular survey settings. </w:t>
      </w:r>
    </w:p>
    <w:p w14:paraId="27D44549" w14:textId="77777777" w:rsidR="00C9315D" w:rsidRDefault="003261EC">
      <w:pPr>
        <w:spacing w:before="240" w:after="120"/>
        <w:rPr>
          <w:color w:val="222222"/>
        </w:rPr>
      </w:pPr>
      <w:r>
        <w:rPr>
          <w:color w:val="222222"/>
        </w:rPr>
        <w:t xml:space="preserve">Another strategy to increase cooperation is the use of ancillary data collection efforts in the form of additional surveys or side studies. Deeg et al. (2002) found that the impact of additional surveys and side studies on refusal rates is nuanced. Refusal rates increased among participants who had refused side studies or participated in fewer side studies, whereas those who agreed to participate in all optional side surveys showed decreased refusal rates in follow-up waves. They concluded that participation in ancillary studies does not substantially bias longitudinal research if managed within the main study’s framework. Moreover, the frequency with which individuals are eligible for additional surveys can interact with subjective factors to influence the decision to participate. For instance, homeowners who are employed and skip questions about education are more adversely affected in subsequent participation by frequent survey requests (Earp et al., 2022). </w:t>
      </w:r>
    </w:p>
    <w:p w14:paraId="1572C6E8" w14:textId="77777777" w:rsidR="00C9315D" w:rsidRDefault="003261EC">
      <w:pPr>
        <w:spacing w:before="240"/>
        <w:rPr>
          <w:color w:val="222222"/>
        </w:rPr>
      </w:pPr>
      <w:r>
        <w:rPr>
          <w:color w:val="222222"/>
        </w:rPr>
        <w:t xml:space="preserve">To date, there is no systematic review summarizing empirical evidence on the role of frequency in data collection on cooperation, including what constitutes “too often” and how these effects may vary by modality of data collection, demographic characteristics of participants, and other potential contextual effects. </w:t>
      </w:r>
    </w:p>
    <w:p w14:paraId="6F456D66" w14:textId="77777777" w:rsidR="00C9315D" w:rsidRDefault="003261EC">
      <w:pPr>
        <w:spacing w:before="240" w:after="120"/>
        <w:ind w:left="2160" w:firstLine="720"/>
        <w:jc w:val="both"/>
        <w:rPr>
          <w:i/>
          <w:iCs/>
          <w:color w:val="222222"/>
        </w:rPr>
      </w:pPr>
      <w:r>
        <w:rPr>
          <w:i/>
          <w:iCs/>
          <w:color w:val="222222"/>
        </w:rPr>
        <w:t>ii. Burden of Previous Instrument</w:t>
      </w:r>
    </w:p>
    <w:p w14:paraId="5582C7F5" w14:textId="77777777" w:rsidR="00C9315D" w:rsidRDefault="003261EC">
      <w:pPr>
        <w:spacing w:before="240" w:after="120"/>
        <w:rPr>
          <w:color w:val="222222"/>
        </w:rPr>
      </w:pPr>
      <w:r>
        <w:rPr>
          <w:color w:val="222222"/>
        </w:rPr>
        <w:t xml:space="preserve">A few studies identified a link between prior length of survey/interview and subsequent attrition (Laurie, et al., 1999; Gummer and Daikeler, 2020; Earp et al., 2022). Alternatively, Hill and Willis (2001) found no evidence that shortening the interview increased response rates. Instead, their analysis suggested a non-linear positive relationship, whereby participation increased with </w:t>
      </w:r>
      <w:r>
        <w:rPr>
          <w:color w:val="222222"/>
        </w:rPr>
        <w:lastRenderedPageBreak/>
        <w:t xml:space="preserve">interview length up to approximately two hours, after which it began to decline. Other studies have also shown that interview length may have an effect on participation rates in a non-linear way. For example, longer interviews in the early years of the survey were associated with a greater likelihood of respondents remaining in the sample, whereas no clear effect was observed in later years (Branden et al., 1995). </w:t>
      </w:r>
    </w:p>
    <w:p w14:paraId="153DDD0B" w14:textId="77777777" w:rsidR="00C9315D" w:rsidRDefault="003261EC">
      <w:pPr>
        <w:spacing w:before="240" w:after="120"/>
        <w:rPr>
          <w:color w:val="222222"/>
        </w:rPr>
      </w:pPr>
      <w:r>
        <w:rPr>
          <w:color w:val="222222"/>
        </w:rPr>
        <w:t xml:space="preserve">Earp et al. (2022) demonstrated that subjective burden, such as answering sensitive questions about household ownership or educational attainment, can impact subsequent participation. In this respect, non-response to these two questions was associated with lower participation rates in subsequent waves. Similarly, Bergmann and Scherpenzeel (2016) reported lower participation rates among older panel respondents who did not answer the income question in the previous wave. These findings suggest that topic burden or discomfort plays an important role in predicting whether respondents will continue to participate in longitudinal studies. Earp et al. (2022) also found that extra effort in a survey, as a result of the presentation of additional modules based on survey responses, predicted lower participation rates in subsequent waves. Their findings suggested that additional effort, such as responding to additional questions after reporting being employed, are associated with lower probabilities of future participation. While Kleinert et al. (2021) reported that panel respondents who were assigned to a longer competence test variant did not have higher refusal rates in subsequent waves; however, they were more likely to apply alternative strategies that resulted in fewer administrations of tests in subsequent waves of data collection. Relatedly, as predicted by the Response Burden Framework (Yan &amp; Williams, 2022), negative experiences—such as receiving a poor test score—can also deter future participation (Kleinert et al., 2021). In this respect, design, outcome and burden have negative consequences for survey participation in later waves (Kleinert et al., 2021). </w:t>
      </w:r>
    </w:p>
    <w:p w14:paraId="0155BD13" w14:textId="77777777" w:rsidR="00C9315D" w:rsidRDefault="003261EC">
      <w:pPr>
        <w:spacing w:before="240"/>
        <w:rPr>
          <w:color w:val="222222"/>
        </w:rPr>
      </w:pPr>
      <w:r>
        <w:rPr>
          <w:color w:val="222222"/>
        </w:rPr>
        <w:t xml:space="preserve">Regardless of the source of burden, empirical evidence supports the link between perceived burden and attrition. Respondents who feel overburdened are less likely to respond to future requests for participation (Hoogendoorn &amp; Sikkel, 1998; Martin et al., 2001; Bergman &amp; Brage, 2008). One caveat is the ability to share participation burden. More specifically, households that indicated the presence of spouses were more likely to participate in subsequent waves (thus having more people in the household available to respond; Earp et al., 2022). </w:t>
      </w:r>
    </w:p>
    <w:p w14:paraId="51433FB8" w14:textId="77777777" w:rsidR="00C9315D" w:rsidRDefault="003261EC">
      <w:pPr>
        <w:spacing w:before="240"/>
        <w:rPr>
          <w:color w:val="222222"/>
        </w:rPr>
      </w:pPr>
      <w:r>
        <w:rPr>
          <w:color w:val="222222"/>
        </w:rPr>
        <w:t>Moreover, burden experienced in earlier waves can foster negative attitudes towards the study and data collection (Stocké &amp; Langfeldt, 2004), which further influences perceptions of burden in subsequent waves (Yan et al., 2020) resulting in non-participation. Yan (2025) found that burden felt during the first wave significantly predicted participation in the next three waves. As shown in Table 1, respondents who reported feeling “somewhat” or “very” burdened at the end of Wave 1 had consistently lower response rates in subsequent waves.</w:t>
      </w:r>
    </w:p>
    <w:p w14:paraId="1BF04A11" w14:textId="77777777" w:rsidR="00C9315D" w:rsidRDefault="003261EC">
      <w:pPr>
        <w:spacing w:before="240"/>
        <w:rPr>
          <w:color w:val="222222"/>
        </w:rPr>
      </w:pPr>
      <w:r>
        <w:br w:type="page"/>
      </w:r>
    </w:p>
    <w:p w14:paraId="6C563368" w14:textId="77777777" w:rsidR="00C9315D" w:rsidRDefault="003261EC">
      <w:pPr>
        <w:spacing w:before="240"/>
        <w:rPr>
          <w:color w:val="222222"/>
        </w:rPr>
      </w:pPr>
      <w:r>
        <w:rPr>
          <w:color w:val="222222"/>
        </w:rPr>
        <w:lastRenderedPageBreak/>
        <w:t xml:space="preserve"> Table 1. Impact of Burden Felt at Wave 1 on Response Rates to Subsequent Waves of Interviews</w:t>
      </w:r>
    </w:p>
    <w:tbl>
      <w:tblPr>
        <w:tblStyle w:val="a"/>
        <w:tblW w:w="8865" w:type="dxa"/>
        <w:tblInd w:w="1" w:type="dxa"/>
        <w:tblBorders>
          <w:top w:val="nil"/>
          <w:left w:val="nil"/>
          <w:bottom w:val="nil"/>
          <w:right w:val="nil"/>
          <w:insideH w:val="nil"/>
          <w:insideV w:val="nil"/>
        </w:tblBorders>
        <w:tblLayout w:type="fixed"/>
        <w:tblLook w:val="0600" w:firstRow="0" w:lastRow="0" w:firstColumn="0" w:lastColumn="0" w:noHBand="1" w:noVBand="1"/>
      </w:tblPr>
      <w:tblGrid>
        <w:gridCol w:w="2340"/>
        <w:gridCol w:w="2175"/>
        <w:gridCol w:w="2175"/>
        <w:gridCol w:w="2175"/>
      </w:tblGrid>
      <w:tr w:rsidR="00C9315D" w14:paraId="3A4FC162" w14:textId="77777777">
        <w:trPr>
          <w:trHeight w:val="570"/>
        </w:trPr>
        <w:tc>
          <w:tcPr>
            <w:tcW w:w="234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41FF16B1" w14:textId="77777777" w:rsidR="00C9315D" w:rsidRDefault="003261EC">
            <w:pPr>
              <w:spacing w:before="240"/>
              <w:rPr>
                <w:color w:val="222222"/>
              </w:rPr>
            </w:pPr>
            <w:r>
              <w:rPr>
                <w:color w:val="222222"/>
              </w:rPr>
              <w:t>Perceived Burden at Wave 1</w:t>
            </w:r>
          </w:p>
        </w:tc>
        <w:tc>
          <w:tcPr>
            <w:tcW w:w="217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2164C27" w14:textId="77777777" w:rsidR="00C9315D" w:rsidRDefault="003261EC">
            <w:pPr>
              <w:spacing w:before="240"/>
              <w:rPr>
                <w:color w:val="222222"/>
              </w:rPr>
            </w:pPr>
            <w:r>
              <w:rPr>
                <w:color w:val="222222"/>
              </w:rPr>
              <w:t>Wave 2 Response Rate</w:t>
            </w:r>
          </w:p>
        </w:tc>
        <w:tc>
          <w:tcPr>
            <w:tcW w:w="217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C747BC9" w14:textId="77777777" w:rsidR="00C9315D" w:rsidRDefault="003261EC">
            <w:pPr>
              <w:spacing w:before="240"/>
              <w:rPr>
                <w:color w:val="222222"/>
              </w:rPr>
            </w:pPr>
            <w:r>
              <w:rPr>
                <w:color w:val="222222"/>
              </w:rPr>
              <w:t>Wave 3 Response Rate</w:t>
            </w:r>
          </w:p>
        </w:tc>
        <w:tc>
          <w:tcPr>
            <w:tcW w:w="217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BBDC587" w14:textId="77777777" w:rsidR="00C9315D" w:rsidRDefault="003261EC">
            <w:pPr>
              <w:spacing w:before="240"/>
              <w:rPr>
                <w:color w:val="222222"/>
              </w:rPr>
            </w:pPr>
            <w:r>
              <w:rPr>
                <w:color w:val="222222"/>
              </w:rPr>
              <w:t>Wave 4 Response Rate</w:t>
            </w:r>
          </w:p>
        </w:tc>
      </w:tr>
      <w:tr w:rsidR="00C9315D" w14:paraId="506218A2" w14:textId="77777777">
        <w:trPr>
          <w:trHeight w:val="300"/>
        </w:trPr>
        <w:tc>
          <w:tcPr>
            <w:tcW w:w="23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0BA9177" w14:textId="77777777" w:rsidR="00C9315D" w:rsidRDefault="003261EC">
            <w:pPr>
              <w:spacing w:before="240"/>
              <w:rPr>
                <w:color w:val="222222"/>
              </w:rPr>
            </w:pPr>
            <w:r>
              <w:rPr>
                <w:color w:val="222222"/>
              </w:rPr>
              <w:t>Not at all (n=870)</w:t>
            </w:r>
          </w:p>
        </w:tc>
        <w:tc>
          <w:tcPr>
            <w:tcW w:w="2175" w:type="dxa"/>
            <w:tcBorders>
              <w:top w:val="nil"/>
              <w:left w:val="nil"/>
              <w:bottom w:val="single" w:sz="5" w:space="0" w:color="000000"/>
              <w:right w:val="single" w:sz="5" w:space="0" w:color="000000"/>
            </w:tcBorders>
            <w:tcMar>
              <w:top w:w="0" w:type="dxa"/>
              <w:left w:w="100" w:type="dxa"/>
              <w:bottom w:w="0" w:type="dxa"/>
              <w:right w:w="100" w:type="dxa"/>
            </w:tcMar>
          </w:tcPr>
          <w:p w14:paraId="306B32EF" w14:textId="77777777" w:rsidR="00C9315D" w:rsidRDefault="003261EC">
            <w:pPr>
              <w:spacing w:before="240"/>
              <w:rPr>
                <w:color w:val="222222"/>
              </w:rPr>
            </w:pPr>
            <w:r>
              <w:rPr>
                <w:color w:val="222222"/>
              </w:rPr>
              <w:t>72%</w:t>
            </w:r>
          </w:p>
        </w:tc>
        <w:tc>
          <w:tcPr>
            <w:tcW w:w="2175" w:type="dxa"/>
            <w:tcBorders>
              <w:top w:val="nil"/>
              <w:left w:val="nil"/>
              <w:bottom w:val="single" w:sz="5" w:space="0" w:color="000000"/>
              <w:right w:val="single" w:sz="5" w:space="0" w:color="000000"/>
            </w:tcBorders>
            <w:tcMar>
              <w:top w:w="0" w:type="dxa"/>
              <w:left w:w="100" w:type="dxa"/>
              <w:bottom w:w="0" w:type="dxa"/>
              <w:right w:w="100" w:type="dxa"/>
            </w:tcMar>
          </w:tcPr>
          <w:p w14:paraId="1B8DD737" w14:textId="77777777" w:rsidR="00C9315D" w:rsidRDefault="003261EC">
            <w:pPr>
              <w:spacing w:before="240"/>
              <w:rPr>
                <w:color w:val="222222"/>
              </w:rPr>
            </w:pPr>
            <w:r>
              <w:rPr>
                <w:color w:val="222222"/>
              </w:rPr>
              <w:t>77%</w:t>
            </w:r>
          </w:p>
        </w:tc>
        <w:tc>
          <w:tcPr>
            <w:tcW w:w="2175" w:type="dxa"/>
            <w:tcBorders>
              <w:top w:val="nil"/>
              <w:left w:val="nil"/>
              <w:bottom w:val="single" w:sz="5" w:space="0" w:color="000000"/>
              <w:right w:val="single" w:sz="5" w:space="0" w:color="000000"/>
            </w:tcBorders>
            <w:tcMar>
              <w:top w:w="0" w:type="dxa"/>
              <w:left w:w="100" w:type="dxa"/>
              <w:bottom w:w="0" w:type="dxa"/>
              <w:right w:w="100" w:type="dxa"/>
            </w:tcMar>
          </w:tcPr>
          <w:p w14:paraId="2B860B09" w14:textId="77777777" w:rsidR="00C9315D" w:rsidRDefault="003261EC">
            <w:pPr>
              <w:spacing w:before="240"/>
              <w:rPr>
                <w:color w:val="222222"/>
              </w:rPr>
            </w:pPr>
            <w:r>
              <w:rPr>
                <w:color w:val="222222"/>
              </w:rPr>
              <w:t>76%</w:t>
            </w:r>
          </w:p>
        </w:tc>
      </w:tr>
      <w:tr w:rsidR="00C9315D" w14:paraId="68480CBC" w14:textId="77777777">
        <w:trPr>
          <w:trHeight w:val="300"/>
        </w:trPr>
        <w:tc>
          <w:tcPr>
            <w:tcW w:w="23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E57D9D0" w14:textId="77777777" w:rsidR="00C9315D" w:rsidRDefault="003261EC">
            <w:pPr>
              <w:spacing w:before="240"/>
              <w:rPr>
                <w:color w:val="222222"/>
              </w:rPr>
            </w:pPr>
            <w:r>
              <w:rPr>
                <w:color w:val="222222"/>
              </w:rPr>
              <w:t>A little (n=394)</w:t>
            </w:r>
          </w:p>
        </w:tc>
        <w:tc>
          <w:tcPr>
            <w:tcW w:w="2175" w:type="dxa"/>
            <w:tcBorders>
              <w:top w:val="nil"/>
              <w:left w:val="nil"/>
              <w:bottom w:val="single" w:sz="5" w:space="0" w:color="000000"/>
              <w:right w:val="single" w:sz="5" w:space="0" w:color="000000"/>
            </w:tcBorders>
            <w:tcMar>
              <w:top w:w="0" w:type="dxa"/>
              <w:left w:w="100" w:type="dxa"/>
              <w:bottom w:w="0" w:type="dxa"/>
              <w:right w:w="100" w:type="dxa"/>
            </w:tcMar>
          </w:tcPr>
          <w:p w14:paraId="6B4BEE08" w14:textId="77777777" w:rsidR="00C9315D" w:rsidRDefault="003261EC">
            <w:pPr>
              <w:spacing w:before="240"/>
              <w:rPr>
                <w:color w:val="222222"/>
              </w:rPr>
            </w:pPr>
            <w:r>
              <w:rPr>
                <w:color w:val="222222"/>
              </w:rPr>
              <w:t>62%</w:t>
            </w:r>
          </w:p>
        </w:tc>
        <w:tc>
          <w:tcPr>
            <w:tcW w:w="2175" w:type="dxa"/>
            <w:tcBorders>
              <w:top w:val="nil"/>
              <w:left w:val="nil"/>
              <w:bottom w:val="single" w:sz="5" w:space="0" w:color="000000"/>
              <w:right w:val="single" w:sz="5" w:space="0" w:color="000000"/>
            </w:tcBorders>
            <w:tcMar>
              <w:top w:w="0" w:type="dxa"/>
              <w:left w:w="100" w:type="dxa"/>
              <w:bottom w:w="0" w:type="dxa"/>
              <w:right w:w="100" w:type="dxa"/>
            </w:tcMar>
          </w:tcPr>
          <w:p w14:paraId="5AF79135" w14:textId="77777777" w:rsidR="00C9315D" w:rsidRDefault="003261EC">
            <w:pPr>
              <w:spacing w:before="240"/>
              <w:rPr>
                <w:color w:val="222222"/>
              </w:rPr>
            </w:pPr>
            <w:r>
              <w:rPr>
                <w:color w:val="222222"/>
              </w:rPr>
              <w:t>68%</w:t>
            </w:r>
          </w:p>
        </w:tc>
        <w:tc>
          <w:tcPr>
            <w:tcW w:w="2175" w:type="dxa"/>
            <w:tcBorders>
              <w:top w:val="nil"/>
              <w:left w:val="nil"/>
              <w:bottom w:val="single" w:sz="5" w:space="0" w:color="000000"/>
              <w:right w:val="single" w:sz="5" w:space="0" w:color="000000"/>
            </w:tcBorders>
            <w:tcMar>
              <w:top w:w="0" w:type="dxa"/>
              <w:left w:w="100" w:type="dxa"/>
              <w:bottom w:w="0" w:type="dxa"/>
              <w:right w:w="100" w:type="dxa"/>
            </w:tcMar>
          </w:tcPr>
          <w:p w14:paraId="668A7219" w14:textId="77777777" w:rsidR="00C9315D" w:rsidRDefault="003261EC">
            <w:pPr>
              <w:spacing w:before="240"/>
              <w:rPr>
                <w:color w:val="222222"/>
              </w:rPr>
            </w:pPr>
            <w:r>
              <w:rPr>
                <w:color w:val="222222"/>
              </w:rPr>
              <w:t>66%</w:t>
            </w:r>
          </w:p>
        </w:tc>
      </w:tr>
      <w:tr w:rsidR="00C9315D" w14:paraId="3EE8363C" w14:textId="77777777">
        <w:trPr>
          <w:trHeight w:val="570"/>
        </w:trPr>
        <w:tc>
          <w:tcPr>
            <w:tcW w:w="23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F1D7877" w14:textId="77777777" w:rsidR="00C9315D" w:rsidRDefault="003261EC">
            <w:pPr>
              <w:spacing w:before="240"/>
              <w:rPr>
                <w:color w:val="222222"/>
              </w:rPr>
            </w:pPr>
            <w:r>
              <w:rPr>
                <w:color w:val="222222"/>
              </w:rPr>
              <w:t>Somewhat/Very (n=128)</w:t>
            </w:r>
          </w:p>
        </w:tc>
        <w:tc>
          <w:tcPr>
            <w:tcW w:w="2175" w:type="dxa"/>
            <w:tcBorders>
              <w:top w:val="nil"/>
              <w:left w:val="nil"/>
              <w:bottom w:val="single" w:sz="5" w:space="0" w:color="000000"/>
              <w:right w:val="single" w:sz="5" w:space="0" w:color="000000"/>
            </w:tcBorders>
            <w:tcMar>
              <w:top w:w="0" w:type="dxa"/>
              <w:left w:w="100" w:type="dxa"/>
              <w:bottom w:w="0" w:type="dxa"/>
              <w:right w:w="100" w:type="dxa"/>
            </w:tcMar>
          </w:tcPr>
          <w:p w14:paraId="18A343DA" w14:textId="77777777" w:rsidR="00C9315D" w:rsidRDefault="003261EC">
            <w:pPr>
              <w:spacing w:before="240"/>
              <w:rPr>
                <w:color w:val="222222"/>
              </w:rPr>
            </w:pPr>
            <w:r>
              <w:rPr>
                <w:color w:val="222222"/>
              </w:rPr>
              <w:t>52%</w:t>
            </w:r>
          </w:p>
        </w:tc>
        <w:tc>
          <w:tcPr>
            <w:tcW w:w="2175" w:type="dxa"/>
            <w:tcBorders>
              <w:top w:val="nil"/>
              <w:left w:val="nil"/>
              <w:bottom w:val="single" w:sz="5" w:space="0" w:color="000000"/>
              <w:right w:val="single" w:sz="5" w:space="0" w:color="000000"/>
            </w:tcBorders>
            <w:tcMar>
              <w:top w:w="0" w:type="dxa"/>
              <w:left w:w="100" w:type="dxa"/>
              <w:bottom w:w="0" w:type="dxa"/>
              <w:right w:w="100" w:type="dxa"/>
            </w:tcMar>
          </w:tcPr>
          <w:p w14:paraId="4A6EB4C6" w14:textId="77777777" w:rsidR="00C9315D" w:rsidRDefault="003261EC">
            <w:pPr>
              <w:spacing w:before="240"/>
              <w:rPr>
                <w:color w:val="222222"/>
              </w:rPr>
            </w:pPr>
            <w:r>
              <w:rPr>
                <w:color w:val="222222"/>
              </w:rPr>
              <w:t>60%</w:t>
            </w:r>
          </w:p>
        </w:tc>
        <w:tc>
          <w:tcPr>
            <w:tcW w:w="2175" w:type="dxa"/>
            <w:tcBorders>
              <w:top w:val="nil"/>
              <w:left w:val="nil"/>
              <w:bottom w:val="single" w:sz="5" w:space="0" w:color="000000"/>
              <w:right w:val="single" w:sz="5" w:space="0" w:color="000000"/>
            </w:tcBorders>
            <w:tcMar>
              <w:top w:w="0" w:type="dxa"/>
              <w:left w:w="100" w:type="dxa"/>
              <w:bottom w:w="0" w:type="dxa"/>
              <w:right w:w="100" w:type="dxa"/>
            </w:tcMar>
          </w:tcPr>
          <w:p w14:paraId="1419DAB6" w14:textId="77777777" w:rsidR="00C9315D" w:rsidRDefault="003261EC">
            <w:pPr>
              <w:spacing w:before="240"/>
              <w:rPr>
                <w:color w:val="222222"/>
              </w:rPr>
            </w:pPr>
            <w:r>
              <w:rPr>
                <w:color w:val="222222"/>
              </w:rPr>
              <w:t>57%</w:t>
            </w:r>
          </w:p>
        </w:tc>
      </w:tr>
    </w:tbl>
    <w:p w14:paraId="6D756586" w14:textId="77777777" w:rsidR="00C9315D" w:rsidRDefault="003261EC">
      <w:pPr>
        <w:spacing w:before="240"/>
        <w:rPr>
          <w:color w:val="222222"/>
        </w:rPr>
      </w:pPr>
      <w:r>
        <w:rPr>
          <w:color w:val="222222"/>
        </w:rPr>
        <w:t xml:space="preserve"> </w:t>
      </w:r>
    </w:p>
    <w:p w14:paraId="4BC4BBB1" w14:textId="77777777" w:rsidR="00C9315D" w:rsidRDefault="003261EC">
      <w:pPr>
        <w:spacing w:before="240"/>
        <w:rPr>
          <w:color w:val="222222"/>
        </w:rPr>
      </w:pPr>
      <w:r>
        <w:rPr>
          <w:color w:val="222222"/>
        </w:rPr>
        <w:t>Interestingly, the relationship between item nonresponse in earlier waves and attrition is mixed. Yan &amp; Curtin (2010) as well as Bergmann &amp; Scherpenzeel (2020) found a positive association between item nonresponse and subsequent wave attrition, whereas Yan (2025) did not observe such a link.</w:t>
      </w:r>
    </w:p>
    <w:p w14:paraId="55615270" w14:textId="77777777" w:rsidR="00C9315D" w:rsidRDefault="003261EC">
      <w:pPr>
        <w:spacing w:before="240"/>
        <w:rPr>
          <w:color w:val="222222"/>
        </w:rPr>
      </w:pPr>
      <w:r>
        <w:rPr>
          <w:color w:val="222222"/>
        </w:rPr>
        <w:t>The distribution of perceptions of burden across subgroups is limited. More specifically, literature on causes of burden and impact of burden on attrition for older adults is rare. Research is needed to understand what design features and content most influence older adults’ feelings of burden related to participation and how these burdens contribute to their decision to continue participation. It is also unclear how burden is best managed through improved questionnaire designs, such as the ordering of topic modules in the survey. Best practices suggest that demographic questions should be asked last since these are the easiest questions to answer while modules that include the most sensitive topics and questions should be asked in the middle. However, little work goes beyond these broad categories to better understand the role of question flow in perceived burden and subsequent participation.</w:t>
      </w:r>
    </w:p>
    <w:p w14:paraId="11A46410" w14:textId="77777777" w:rsidR="00C9315D" w:rsidRDefault="003261EC">
      <w:pPr>
        <w:numPr>
          <w:ilvl w:val="0"/>
          <w:numId w:val="7"/>
        </w:numPr>
        <w:pBdr>
          <w:top w:val="nil"/>
          <w:left w:val="nil"/>
          <w:bottom w:val="nil"/>
          <w:right w:val="nil"/>
          <w:between w:val="nil"/>
        </w:pBdr>
        <w:spacing w:before="240" w:after="120"/>
        <w:rPr>
          <w:color w:val="222222"/>
        </w:rPr>
      </w:pPr>
      <w:r>
        <w:rPr>
          <w:color w:val="222222"/>
        </w:rPr>
        <w:t xml:space="preserve">Modes of interviewing </w:t>
      </w:r>
    </w:p>
    <w:p w14:paraId="6A9F7754" w14:textId="77777777" w:rsidR="00C9315D" w:rsidRDefault="003261EC">
      <w:pPr>
        <w:spacing w:before="240"/>
        <w:rPr>
          <w:color w:val="222222"/>
        </w:rPr>
      </w:pPr>
      <w:r>
        <w:rPr>
          <w:color w:val="222222"/>
        </w:rPr>
        <w:t xml:space="preserve">Modes of data collection significantly influence participation rates in both cross-sectional and longitudinal surveys. Of course, modes can also influence the measurement – creating differences in measurement error. Since the focus of this paper is on attrition, this section examines the impact of modes on participation. In general, face-to-face interviews yield higher participation rates than other modes such as telephone, web, or mail-based forms of data collection. In this respect, interviewers play a crucial role by encouraging respondent motivation and providing support when needed (Hope et al., 2022). Vassallo et al. (2015) found that interviewer experience, grade, and continuity positively correlate with respondent cooperation. Similarly, Bergmann et al. (2024) observed that the effectiveness of interviewer continuity, i.e. assigning the same interviewer to sample members in successive waves of a panel study, depends on the interviewer's level of experience and varies according to respondent characteristics. Lynn et al. (2014) found that interviewer continuity reduces refusal rates among respondents aged 60 or under, but not among those over 60. Interestingly, the effectiveness of </w:t>
      </w:r>
      <w:r>
        <w:rPr>
          <w:color w:val="222222"/>
        </w:rPr>
        <w:lastRenderedPageBreak/>
        <w:t xml:space="preserve">this continuity effect varies depending on the age of the interviewer. For older sample members, changing the interviewer may be beneficial, particularly if it involves transitioning from a younger to an older interviewer. Contrastingly, Campanelli and O’Muircheartaigh (Campanelli &amp; O’Muircheartaigh, 1999) observed no discernible effect of interviewer continuity on non-response. They noted significant variability in the efficacy of an interviewer continuity strategy among refusals, which could not be explained by individual, household, area, or interviewer characteristics. Furthermore, respondents’ decision to continue participating in a panel study is influenced by their feelings towards the interviewer and the rapport established during previous interviews (Carley-Baxter, 2008). </w:t>
      </w:r>
    </w:p>
    <w:p w14:paraId="02B1B03B" w14:textId="77777777" w:rsidR="00C9315D" w:rsidRDefault="003261EC">
      <w:pPr>
        <w:spacing w:before="240"/>
        <w:rPr>
          <w:color w:val="222222"/>
        </w:rPr>
      </w:pPr>
      <w:r>
        <w:rPr>
          <w:color w:val="222222"/>
        </w:rPr>
        <w:t>Recently, mixed-mode distributions—which offer multiple modes for data collection—have become increasingly common. Longitudinal surveys, in particular, are adopting mixed-mode designs to improve efficiency, reduce costs, and limit attrition. Examples include the Population Assessment of Tobacco and Health Study</w:t>
      </w:r>
      <w:r>
        <w:rPr>
          <w:color w:val="222222"/>
          <w:vertAlign w:val="superscript"/>
        </w:rPr>
        <w:footnoteReference w:id="4"/>
      </w:r>
      <w:r>
        <w:rPr>
          <w:color w:val="222222"/>
        </w:rPr>
        <w:t xml:space="preserve"> (PATH), the National Longitudinal Study of Adolescent to Adult Health</w:t>
      </w:r>
      <w:r>
        <w:rPr>
          <w:color w:val="222222"/>
          <w:vertAlign w:val="superscript"/>
        </w:rPr>
        <w:footnoteReference w:id="5"/>
      </w:r>
      <w:r>
        <w:rPr>
          <w:color w:val="222222"/>
        </w:rPr>
        <w:t xml:space="preserve"> (Add Health) the Medical Expenditure Panel Survey – Household Component</w:t>
      </w:r>
      <w:r>
        <w:rPr>
          <w:color w:val="222222"/>
          <w:vertAlign w:val="superscript"/>
        </w:rPr>
        <w:footnoteReference w:id="6"/>
      </w:r>
      <w:r>
        <w:rPr>
          <w:color w:val="222222"/>
        </w:rPr>
        <w:t xml:space="preserve"> (MEPS-HC), and the UK Household Longitudinal Study</w:t>
      </w:r>
      <w:r>
        <w:rPr>
          <w:color w:val="222222"/>
          <w:vertAlign w:val="superscript"/>
        </w:rPr>
        <w:footnoteReference w:id="7"/>
      </w:r>
      <w:r>
        <w:rPr>
          <w:color w:val="222222"/>
        </w:rPr>
        <w:t xml:space="preserve"> (UKHLS).</w:t>
      </w:r>
    </w:p>
    <w:p w14:paraId="75C26B52" w14:textId="77777777" w:rsidR="00C9315D" w:rsidRDefault="003261EC">
      <w:pPr>
        <w:spacing w:before="240"/>
        <w:rPr>
          <w:color w:val="222222"/>
        </w:rPr>
      </w:pPr>
      <w:r>
        <w:rPr>
          <w:color w:val="222222"/>
        </w:rPr>
        <w:t>There are several ways longitudinal surveys combine multiple data collection modalities:</w:t>
      </w:r>
    </w:p>
    <w:p w14:paraId="3E9C2938" w14:textId="77777777" w:rsidR="00C9315D" w:rsidRDefault="003261EC">
      <w:pPr>
        <w:numPr>
          <w:ilvl w:val="0"/>
          <w:numId w:val="18"/>
        </w:numPr>
        <w:rPr>
          <w:color w:val="222222"/>
        </w:rPr>
      </w:pPr>
      <w:r>
        <w:rPr>
          <w:color w:val="222222"/>
        </w:rPr>
        <w:t>Mode Switching across Waves: A study may use one mode in one wave and switch to another in subsequent waves. It is common to begin with a more expensive mode (e.g., in-person interviewing) and transition to a less costly mode (e.g., telephone) in later rounds. For example, the Consumer Expenditure Interview Survey conducts in-person interviews in the first wave and switches to telephone interviews in subsequent waves.</w:t>
      </w:r>
    </w:p>
    <w:p w14:paraId="07E620A4" w14:textId="77777777" w:rsidR="00C9315D" w:rsidRDefault="003261EC">
      <w:pPr>
        <w:numPr>
          <w:ilvl w:val="0"/>
          <w:numId w:val="18"/>
        </w:numPr>
        <w:rPr>
          <w:color w:val="222222"/>
        </w:rPr>
      </w:pPr>
      <w:r>
        <w:rPr>
          <w:color w:val="222222"/>
        </w:rPr>
        <w:t>Multiple Modes within a Single Wave: A study may employ multiple modes either sequentially, concurrently, or in a hybrid fashion. For example, the first three rounds of the National Social Life, Health &amp; Aging Project (NSHAP) used in-person interviews exclusively. In Round 4, NSHAP expanded to include web, telephone, and paper modes alongside in-person interviews</w:t>
      </w:r>
      <w:r>
        <w:rPr>
          <w:color w:val="222222"/>
          <w:vertAlign w:val="superscript"/>
        </w:rPr>
        <w:footnoteReference w:id="8"/>
      </w:r>
      <w:r>
        <w:rPr>
          <w:color w:val="222222"/>
        </w:rPr>
        <w:t>. Both the PATH Study and UKHLS used sequential mixed-mode designs, initially inviting respondents to complete the survey online, which was followed by telephone or face-to-face follow-ups for nonrespondents. In contrast, MEPS-HC offered live video interviewing, telephone, and face-to-face options.</w:t>
      </w:r>
    </w:p>
    <w:p w14:paraId="227ED825" w14:textId="77777777" w:rsidR="00C9315D" w:rsidRDefault="003261EC">
      <w:pPr>
        <w:numPr>
          <w:ilvl w:val="0"/>
          <w:numId w:val="18"/>
        </w:numPr>
        <w:spacing w:after="240"/>
        <w:rPr>
          <w:color w:val="222222"/>
        </w:rPr>
      </w:pPr>
      <w:r>
        <w:rPr>
          <w:color w:val="222222"/>
        </w:rPr>
        <w:t xml:space="preserve">Tailored Mode Design: Surveys also can tailor modes of data collection by offering different modes to different people. For instance, Freedman et al. (2018) used prior survey response data and paradata to predict whether respondents were more likely to respond to the next wave of interviews via web or paper. Those predicted to prefer web-based methods were invited to complete the survey online and sent a paper questionnaire after six weeks. Those predicted to prefer paper were also invited to </w:t>
      </w:r>
      <w:r>
        <w:rPr>
          <w:color w:val="222222"/>
        </w:rPr>
        <w:lastRenderedPageBreak/>
        <w:t xml:space="preserve">complete the web survey but were informed that a paper version would arrive shortly (earlier than six weeks). </w:t>
      </w:r>
    </w:p>
    <w:p w14:paraId="7736CF7E" w14:textId="77777777" w:rsidR="00C9315D" w:rsidRDefault="003261EC">
      <w:pPr>
        <w:spacing w:after="240"/>
        <w:rPr>
          <w:color w:val="222222"/>
        </w:rPr>
      </w:pPr>
      <w:r>
        <w:rPr>
          <w:color w:val="222222"/>
        </w:rPr>
        <w:t>Another example involves Wave VI of Add Health</w:t>
      </w:r>
      <w:r>
        <w:rPr>
          <w:color w:val="222222"/>
          <w:vertAlign w:val="superscript"/>
        </w:rPr>
        <w:footnoteReference w:id="9"/>
      </w:r>
      <w:r>
        <w:rPr>
          <w:color w:val="222222"/>
        </w:rPr>
        <w:t xml:space="preserve">, which created two representative subsamples within the overall study: Sample 1 (largely web-based, with in-person non-response follow-up) and Sample 2 (largely in-person, with web-based non-response follow-up). This design was implemented in an effort to collect specialized in-person cognitive and physical functioning data in Sample 2 while minimizing costs for the project by collecting largely web-based data in Sample 1.  </w:t>
      </w:r>
    </w:p>
    <w:p w14:paraId="0CC2FCA1" w14:textId="77777777" w:rsidR="00C9315D" w:rsidRDefault="003261EC">
      <w:pPr>
        <w:spacing w:before="240"/>
        <w:rPr>
          <w:color w:val="222222"/>
        </w:rPr>
      </w:pPr>
      <w:r>
        <w:rPr>
          <w:color w:val="222222"/>
        </w:rPr>
        <w:t xml:space="preserve">Research evaluating the impact of data collection modes on attrition in longitudinal studies generally supports the use of mixed-mode designs to maintain participation rates and control costs. One example comes from mode experiments conducted in the Innovation Panel (IP) of UKHLS. Starting in Wave 5, two-thirds of households were randomly assigned to a mixed-mode design, where respondents were first invited to complete the survey online, followed by face-to-face interviews for nonrespondents. The remaining third continued with face-to-face interviews only. Initially, the mixed-mode group had lower response rates in Waves 5 and 6 compared to the single-mode group (Al Baghal et al., 2014; Burton et al., 2013). However, over time, response rates for the mixed-mode group surpassed those of the single-mode group (Al Baghal et al., 2015; 2016; 2018; Gaia et al., 2017). Similarly, the National Child Development Study (NCDS) Age 55 Survey found that its sequential web-to-telephone design achieved higher response rates than the single-mode telephone design (Brown &amp; Calderwood, 2020). </w:t>
      </w:r>
    </w:p>
    <w:p w14:paraId="2F6256AD" w14:textId="77777777" w:rsidR="00C9315D" w:rsidRDefault="003261EC">
      <w:pPr>
        <w:pBdr>
          <w:top w:val="nil"/>
          <w:left w:val="nil"/>
          <w:bottom w:val="nil"/>
          <w:right w:val="nil"/>
          <w:between w:val="nil"/>
        </w:pBdr>
        <w:spacing w:before="240" w:after="120"/>
        <w:ind w:left="1145" w:firstLine="295"/>
        <w:rPr>
          <w:color w:val="222222"/>
        </w:rPr>
      </w:pPr>
      <w:r>
        <w:rPr>
          <w:color w:val="222222"/>
        </w:rPr>
        <w:t>c. Incentives</w:t>
      </w:r>
    </w:p>
    <w:p w14:paraId="6AA3E870" w14:textId="77777777" w:rsidR="00C9315D" w:rsidRDefault="003261EC">
      <w:pPr>
        <w:spacing w:before="240"/>
        <w:rPr>
          <w:color w:val="222222"/>
        </w:rPr>
      </w:pPr>
      <w:r>
        <w:rPr>
          <w:color w:val="222222"/>
        </w:rPr>
        <w:t>Incentives are widely recognized as an effective tool to improve participation rates in both cross-sectional and longitudinal surveys. Research consistently shows that incentives enhance participation across all administration modalities (e.g., in-person, online, telephone), with any incentive being more effective than none (Church, 1993; Singer &amp; Ye, 2013; Mercer et al., 2015). In cross-sectional surveys, monetary incentives (e.g., cash) generally outperform non-monetary gifts (Church, 1993; Warriner et al., 1996; Singer &amp; Ye, 2013). However, a meta-analysis of longitudinal studies found no significant difference between cash and gifts of equivalent value in retaining respondents (Booker et al., 2011).</w:t>
      </w:r>
    </w:p>
    <w:p w14:paraId="2D18F65E" w14:textId="77777777" w:rsidR="00C9315D" w:rsidRDefault="003261EC">
      <w:pPr>
        <w:spacing w:before="240"/>
        <w:rPr>
          <w:color w:val="222222"/>
        </w:rPr>
      </w:pPr>
      <w:r>
        <w:rPr>
          <w:color w:val="222222"/>
        </w:rPr>
        <w:t>Regarding incentive value, experimental studies show that larger incentives tend to increase participation in a non-linear manner (Mercer et al., 2015). One recent study found a positive effect of increased incentives on participation rates only among participants who did not participate in the previous wave (Cabrera-Álvarez &amp; Lynn, 2025a).</w:t>
      </w:r>
    </w:p>
    <w:p w14:paraId="31B03A48" w14:textId="77777777" w:rsidR="00C9315D" w:rsidRDefault="003261EC">
      <w:pPr>
        <w:spacing w:before="240"/>
        <w:rPr>
          <w:color w:val="222222"/>
        </w:rPr>
      </w:pPr>
      <w:r>
        <w:rPr>
          <w:color w:val="222222"/>
        </w:rPr>
        <w:t xml:space="preserve">In cross-sectional surveys, prepaid incentives are generally more effective than promised (postpaid) incentives (Singer &amp; Ye, 2013; Mercer et al., 2015; Pforr et al., 2015; Blohm &amp; Koch, 2021). However, the evidence from longitudinal studies is limited and, at best, mixed </w:t>
      </w:r>
      <w:r>
        <w:rPr>
          <w:color w:val="222222"/>
        </w:rPr>
        <w:lastRenderedPageBreak/>
        <w:t>(Scheepers &amp; Hoogendoorn-Lanser, 2018; Pforr et al., 2015). Some longitudinal studies report that unconditional incentives outperform conditional ones (e.g., Jäckle &amp; Lynn, 2008; Gaia, 2017; Becker, 2023; Beste et al., 2023), while others find the opposite (e.g., Castiglioni et al., 2008). Décieux et al. (2025) found that offering a prepaid incentive led to higher participation rates than a postpaid incentive. However, they also showed that consistent use of postpaid incentives was more cost-effective and better for panel retention. Against this background, more research is needed to thoroughly investigate the nuanced effects of incentive strategies already from the outset of longitudinal studies.</w:t>
      </w:r>
    </w:p>
    <w:p w14:paraId="50B8B698" w14:textId="77777777" w:rsidR="00C9315D" w:rsidRDefault="003261EC">
      <w:pPr>
        <w:spacing w:before="240"/>
        <w:rPr>
          <w:color w:val="222222"/>
        </w:rPr>
      </w:pPr>
      <w:r>
        <w:rPr>
          <w:color w:val="222222"/>
        </w:rPr>
        <w:t>Time-limited conditional incentives, often referred to as “early bird incentives” (EBIs), are designed to encourage early participation. McGonagle et al. (2023) found that EBIs significantly boosted both early and overall participation rates. Cabrera-Álvarez &amp; Lynn (2025b) further demonstrated that increasing the value of EBIs improved participation rates among panel members who had previously received EBIs, but they had no significant effect on those offered EBIs for the first time. Both studies supported targeted, time-limited incentives as a cost-effective strategy for improving panel retention.</w:t>
      </w:r>
    </w:p>
    <w:p w14:paraId="5941C846" w14:textId="77777777" w:rsidR="00C9315D" w:rsidRDefault="003261EC">
      <w:pPr>
        <w:spacing w:before="240"/>
        <w:rPr>
          <w:color w:val="222222"/>
        </w:rPr>
      </w:pPr>
      <w:r>
        <w:rPr>
          <w:color w:val="222222"/>
        </w:rPr>
        <w:t>Importantly, receiving timed early or late-participation incentives does not appear to create an expectation of an augmented incentive in later waves. For instance, refusal conversion incentives, increasing the incentive to promote participation after initial non-response, reluctance or refusal, does not appear to condition respondents to delay participation in later waves (Colicchia et al., 2012). At the same time, many studies find positive effects of time-based additional incentives to persist across waves, helping to reduce cumulative nonparticipation. Further, incentives offered in earlier waves can have enduring effects even without repeated payments in later waves (Laurie &amp; Lynn, 2009; Scherpenzeel et al., 2002; Castiglioni et al., 2008). For instance, Jäckle &amp; Lynn (2008) found a lasting but diminishing effect of incentives in a postal/telephone survey participation among young adults, with later-wave effects being independent of earlier incentives. However, a more recent study found that the effect of incentives on participation rates did not carry over to the following waves (Booth et al., 2024).</w:t>
      </w:r>
    </w:p>
    <w:p w14:paraId="4BAD0437" w14:textId="77777777" w:rsidR="00C9315D" w:rsidRDefault="003261EC">
      <w:pPr>
        <w:spacing w:before="240"/>
        <w:rPr>
          <w:color w:val="222222"/>
        </w:rPr>
      </w:pPr>
      <w:r>
        <w:rPr>
          <w:color w:val="222222"/>
        </w:rPr>
        <w:t>The impact of incentives on the composition of those who participate and, finally, in the estimates produced by panel surveys are less understood. Singer and Ye (2013) provide a summary of the limited evidence.</w:t>
      </w:r>
    </w:p>
    <w:p w14:paraId="47878334" w14:textId="77777777" w:rsidR="00C9315D" w:rsidRDefault="00C9315D">
      <w:pPr>
        <w:spacing w:before="240"/>
        <w:rPr>
          <w:color w:val="222222"/>
        </w:rPr>
      </w:pPr>
    </w:p>
    <w:p w14:paraId="34C137D6" w14:textId="77777777" w:rsidR="00C9315D" w:rsidRDefault="003261EC">
      <w:pPr>
        <w:pBdr>
          <w:top w:val="nil"/>
          <w:left w:val="nil"/>
          <w:bottom w:val="nil"/>
          <w:right w:val="nil"/>
          <w:between w:val="nil"/>
        </w:pBdr>
        <w:spacing w:line="240" w:lineRule="auto"/>
        <w:ind w:left="1145" w:firstLine="295"/>
        <w:rPr>
          <w:i/>
          <w:iCs/>
          <w:color w:val="222222"/>
        </w:rPr>
      </w:pPr>
      <w:r>
        <w:rPr>
          <w:color w:val="222222"/>
        </w:rPr>
        <w:t>d. Contact Materials Referencing Topics of Interest</w:t>
      </w:r>
    </w:p>
    <w:p w14:paraId="7387CD54" w14:textId="77777777" w:rsidR="00C9315D" w:rsidRDefault="003261EC">
      <w:pPr>
        <w:spacing w:before="240" w:after="120"/>
        <w:rPr>
          <w:color w:val="222222"/>
        </w:rPr>
      </w:pPr>
      <w:r>
        <w:rPr>
          <w:color w:val="222222"/>
        </w:rPr>
        <w:t xml:space="preserve">In the panel study context, topics of interest and importance to participants, such as revealing their attitudes and behavior towards highly relevant events like the Covid-19 crisis, are not perceived as being as burdensome as other topics (Quezada &amp; Bergmann, 2025). That is, the topic of the survey itself as well as its relevance in current public debate might be important in motivating people to participate in future waves of data collection. Topic saliency is thought to be relevant because people are more willing to (continuously) participate in a study when they are interested in the topic (Groves et al., 2000) or believe the topic to be important (Groves et </w:t>
      </w:r>
      <w:r>
        <w:rPr>
          <w:color w:val="222222"/>
        </w:rPr>
        <w:lastRenderedPageBreak/>
        <w:t>al., 2004). For instance, a recent review of panel studies related to German elections found that “winners” and “losers” of elections (based on participant voting) were equally likely to respond at subsequent waves (M</w:t>
      </w:r>
      <w:r>
        <w:t>ü</w:t>
      </w:r>
      <w:r>
        <w:rPr>
          <w:color w:val="222222"/>
        </w:rPr>
        <w:t>ller, 2025). In a study of attrition for the American National Election Survey, researchers found that attritors were less interested in politics than non-attritors (Frankel and Hillygus, 2014). Similarly, reviewing attrition among student samples revealed that first wave participants were more likely to participate in a second wave if the topic was of interest to them (Haunberger, 2011).</w:t>
      </w:r>
    </w:p>
    <w:p w14:paraId="3BDCFF62" w14:textId="77777777" w:rsidR="00C9315D" w:rsidRDefault="003261EC">
      <w:pPr>
        <w:spacing w:before="240" w:after="120"/>
        <w:rPr>
          <w:color w:val="222222"/>
        </w:rPr>
      </w:pPr>
      <w:r>
        <w:rPr>
          <w:color w:val="222222"/>
        </w:rPr>
        <w:t>Topic salience plays a particularly important role for panel retention. Participants may judge their interest in the topic not only based on the introductory description of the content but also on their experiences in previous waves (Voorpostel, 2010). This could, at least partially, explain the unusually high number of refusals in Wave 2 compared to subsequent waves (Burton et al., 2006). Therefore, contact materials (newsletters, letters, postcards; see section 3.2) that reference subjects of known interest to participants – health, intergenerational relations, or caregiving – can function as motivational cues and enhance cooperation over time. For instance, Fumagalli, et al. (2013) used tailored contact materials for busier and younger panel members and found that the materials targeting busier persons yielded higher participation rates. Similarly, Lynn (2016) explored the use of targeted appeals for six different subgroups within a panel and found that two low-response propensity groups were more likely to respond when the targeted appeal was used.</w:t>
      </w:r>
    </w:p>
    <w:p w14:paraId="283E33C9" w14:textId="77777777" w:rsidR="00C9315D" w:rsidRDefault="003261EC">
      <w:pPr>
        <w:spacing w:line="240" w:lineRule="auto"/>
        <w:ind w:left="1145" w:firstLine="295"/>
        <w:rPr>
          <w:color w:val="222222"/>
        </w:rPr>
      </w:pPr>
      <w:r>
        <w:rPr>
          <w:color w:val="222222"/>
        </w:rPr>
        <w:t>e. Length of Instrument in Current Wave</w:t>
      </w:r>
    </w:p>
    <w:p w14:paraId="7555700C" w14:textId="77777777" w:rsidR="00C9315D" w:rsidRDefault="003261EC">
      <w:pPr>
        <w:spacing w:before="240"/>
        <w:rPr>
          <w:color w:val="222222"/>
        </w:rPr>
      </w:pPr>
      <w:r>
        <w:rPr>
          <w:color w:val="222222"/>
        </w:rPr>
        <w:t>The impact of questionnaire length on participation rates is a widely studied topic. The results generally confirm that shorter (mail) surveys produce higher response rates (Biner and Kidd, 1994; Burchell and Marsh, 1992; Burkhart, et al., 2019; Dillman, et al. 1993; Edwards, et al. 2004; Robb et al. 2017; Rookey et al. 2012). Several of these studies also noted that being easy to read or attractive also impacted participation rates (Burkhart et al. 2019; Dillman, et al. 1993; Subar et al., 2001).</w:t>
      </w:r>
    </w:p>
    <w:p w14:paraId="69B867E1" w14:textId="77777777" w:rsidR="00C9315D" w:rsidRDefault="003261EC">
      <w:pPr>
        <w:spacing w:before="240"/>
        <w:rPr>
          <w:color w:val="222222"/>
        </w:rPr>
      </w:pPr>
      <w:r>
        <w:rPr>
          <w:color w:val="222222"/>
        </w:rPr>
        <w:t>For web surveys, the announced length of a survey can have an impact on participation rates. Several experimental studies found that longer announced lengths have lower participation rates (Deutskens, et al., 2004; Galesic and Bosnjak, 2009; Revilla and Höhne, 2020). Longer web surveys also tended to have higher rates of breakoffs or failure to complete the entire survey (Peytchev, 2009; Galesic, 2006).</w:t>
      </w:r>
    </w:p>
    <w:p w14:paraId="627615C0" w14:textId="77777777" w:rsidR="00C9315D" w:rsidRDefault="00C9315D">
      <w:pPr>
        <w:spacing w:line="240" w:lineRule="auto"/>
        <w:ind w:left="1145" w:firstLine="295"/>
        <w:rPr>
          <w:color w:val="222222"/>
        </w:rPr>
      </w:pPr>
    </w:p>
    <w:p w14:paraId="672D5FFB" w14:textId="77777777" w:rsidR="00C9315D" w:rsidRDefault="003261EC">
      <w:pPr>
        <w:spacing w:line="240" w:lineRule="auto"/>
        <w:ind w:left="1145" w:firstLine="295"/>
        <w:rPr>
          <w:color w:val="222222"/>
        </w:rPr>
      </w:pPr>
      <w:r>
        <w:rPr>
          <w:color w:val="222222"/>
        </w:rPr>
        <w:t>f. Sponsorship</w:t>
      </w:r>
    </w:p>
    <w:p w14:paraId="52C81C57" w14:textId="77777777" w:rsidR="00C9315D" w:rsidRDefault="003261EC">
      <w:pPr>
        <w:pBdr>
          <w:top w:val="nil"/>
          <w:left w:val="nil"/>
          <w:bottom w:val="nil"/>
          <w:right w:val="nil"/>
          <w:between w:val="nil"/>
        </w:pBdr>
        <w:spacing w:before="240" w:after="120"/>
        <w:rPr>
          <w:color w:val="222222"/>
        </w:rPr>
      </w:pPr>
      <w:r>
        <w:rPr>
          <w:color w:val="222222"/>
        </w:rPr>
        <w:t>There is existing literature that shows that a credible survey sponsor does positively impact participation rates in cross-sectional studies (Etter, et al, 1996; Groves et al., 2012; Presser et al., 1992). However, there is no research on the role of sponsorship on encouraging participation in longitudinal panel studies.</w:t>
      </w:r>
    </w:p>
    <w:p w14:paraId="61F40E9E" w14:textId="77777777" w:rsidR="00C9315D" w:rsidRDefault="003261EC">
      <w:pPr>
        <w:spacing w:before="240" w:after="240"/>
        <w:ind w:left="1170" w:firstLine="270"/>
        <w:rPr>
          <w:color w:val="222222"/>
        </w:rPr>
      </w:pPr>
      <w:r>
        <w:rPr>
          <w:color w:val="222222"/>
        </w:rPr>
        <w:t>g. Between-wave Engagement Strategies</w:t>
      </w:r>
    </w:p>
    <w:p w14:paraId="6AE1BB82" w14:textId="77777777" w:rsidR="00C9315D" w:rsidRDefault="003261EC">
      <w:pPr>
        <w:spacing w:before="240" w:after="120"/>
        <w:rPr>
          <w:color w:val="222222"/>
        </w:rPr>
      </w:pPr>
      <w:r>
        <w:rPr>
          <w:color w:val="222222"/>
        </w:rPr>
        <w:lastRenderedPageBreak/>
        <w:t>Maintaining contact with participants between waves of data collection is an essential component of any locating strategy in longitudinal studies, especially in aging cohorts. According to Auriga et al. (2025), between-wave mailings serve three central functions: (1) facilitating the tracking of participants and reducing attrition, (2) maintaining engagement particularly when there are long intervals between survey waves, and (3) contributing to better response rates by reducing attrition risks beyond simple address confirmation. In addition, research suggests that the type of card matters. For instance, change-of-address cards were found to be more effective than address confirmation cards or providing no card at all (Fumagalli et al., 2013). Strategies associated with between-wave contact can be grouped into four interrelated domains: (1) requests for updates or confirmation of contact information (discussed in the “Locating Strategies” Section), (2) respondent newsletter mailings, (3) birthday and holiday cards, and (4) ancillary data collections. The latter three domains may be classified as either “locating” or “cooperation” related. That is, they serve the dual purpose of helping keep up-to-date contact information while maintaining a sense of belonging among the participants and, thereby, enhancing cooperation. We focus on these three domains in the following sections.</w:t>
      </w:r>
    </w:p>
    <w:p w14:paraId="70E34A95" w14:textId="77777777" w:rsidR="00C9315D" w:rsidRDefault="003261EC">
      <w:pPr>
        <w:spacing w:before="240" w:after="120"/>
        <w:rPr>
          <w:color w:val="222222"/>
        </w:rPr>
      </w:pPr>
      <w:r>
        <w:rPr>
          <w:color w:val="222222"/>
        </w:rPr>
        <w:t>According to a workshop conducted by CLOSER (Cohort and Longitudinal Studies Enhancement Resources) in the UK in 2015 and 2016, all 26 international studies that participated used between-wave mailings. The most common types were newsletters, leaflets, or bulletins (23 studies), followed by letters/postcards (21), change of address cards (19), and birthday or Christmas cards (19). Most of these studies (23) used three or four of these methods (Park et al., 2019). Given the impact on participation, we focus on these between-wave contacts in more detail.</w:t>
      </w:r>
    </w:p>
    <w:p w14:paraId="5AB126BF" w14:textId="77777777" w:rsidR="00C9315D" w:rsidRDefault="003261EC">
      <w:pPr>
        <w:spacing w:before="240" w:after="120"/>
        <w:ind w:left="2160" w:firstLine="720"/>
        <w:rPr>
          <w:i/>
          <w:iCs/>
          <w:color w:val="222222"/>
        </w:rPr>
      </w:pPr>
      <w:r>
        <w:rPr>
          <w:i/>
          <w:iCs/>
          <w:color w:val="222222"/>
        </w:rPr>
        <w:t>i. Respondent Newsletter Distribution</w:t>
      </w:r>
    </w:p>
    <w:p w14:paraId="59284786" w14:textId="77777777" w:rsidR="00C9315D" w:rsidRDefault="003261EC">
      <w:pPr>
        <w:spacing w:before="240" w:after="120"/>
        <w:rPr>
          <w:color w:val="222222"/>
        </w:rPr>
      </w:pPr>
      <w:r>
        <w:rPr>
          <w:color w:val="222222"/>
        </w:rPr>
        <w:t xml:space="preserve">Newsletters serve a primarily informational purpose – offering updates about study activities, findings, and upcoming data collection efforts. Regarding effectiveness, studies offer mixed evidence. Some have found no statistically significant increase in participation rates when newsletters are included (Auriga et al., 2025). Others show that tailored newsletters – designed for specific subgroups – can improve participation. For example, Cleary and Balmer (2015) reported increased participation rates when a newsletter with content tailored to participants characteristics was used. Similarly, Fumagalli et al. (2013) demonstrated that “young” and “busy” participants reacted positively to specifically designed materials. Further, Calderwood (2014) showed that cover letters made more readable, visually appealing, and signed by different authorities improved participation rates among participants with lower education levels and non-native language speakers. However, unintended side effects exist – Auriga et al. (2025) found that newsletters can widen gender inequalities because women were more responsive to newsletters compared to men.  </w:t>
      </w:r>
    </w:p>
    <w:p w14:paraId="794CCD39" w14:textId="77777777" w:rsidR="00C9315D" w:rsidRDefault="003261EC">
      <w:pPr>
        <w:spacing w:before="240" w:after="120"/>
        <w:ind w:left="2160" w:firstLine="720"/>
        <w:rPr>
          <w:i/>
          <w:iCs/>
          <w:color w:val="222222"/>
        </w:rPr>
      </w:pPr>
      <w:r>
        <w:rPr>
          <w:i/>
          <w:iCs/>
          <w:color w:val="222222"/>
        </w:rPr>
        <w:t>ii. Birthday and Holiday Cards</w:t>
      </w:r>
    </w:p>
    <w:p w14:paraId="1269F2FB" w14:textId="77777777" w:rsidR="00C9315D" w:rsidRDefault="003261EC">
      <w:pPr>
        <w:spacing w:before="240" w:after="120"/>
        <w:rPr>
          <w:color w:val="222222"/>
        </w:rPr>
      </w:pPr>
      <w:r>
        <w:rPr>
          <w:color w:val="222222"/>
        </w:rPr>
        <w:t xml:space="preserve">While less frequently studied than newsletters, birthday and holiday cards are a widely used and strongly recommended tool for strengthening commitment and goodwill among participants. </w:t>
      </w:r>
      <w:r>
        <w:rPr>
          <w:color w:val="222222"/>
        </w:rPr>
        <w:lastRenderedPageBreak/>
        <w:t>These cards serve primarily a relational – not informational – function: they acknowledge respondents personally and reinforce their value to the study. Park et al. (2019) reported that 19 of the 26 international, longitudinal studies examined used birthday or festive greeting cards as part of their retention strategies. A systematic review by Teague et al. (2018), based on 141 clinical and non-clinical cohort studies, identified birthday cards, holiday cards, newsletters, and thank-you letters as important community-building tools. However, they concluded that these gestures, while positively perceived by participants, were only weakly associated with improved participation rates. Likewise, de Leeuw and Lugtig (2015) pointed out that birthday and seasonal cards fostered positive participant relationships and continued cooperation, particularly in long-term studies. Despite the limited direct evidence regarding the impact on participation rates – especially among older respondents – these materials remain widely adopted due to their low cost, symbolic value, and potential to humanize longitudinal study participation.</w:t>
      </w:r>
    </w:p>
    <w:p w14:paraId="059B309F" w14:textId="77777777" w:rsidR="00C9315D" w:rsidRDefault="003261EC">
      <w:pPr>
        <w:spacing w:before="240" w:after="120"/>
        <w:ind w:left="2160" w:firstLine="720"/>
        <w:rPr>
          <w:i/>
          <w:iCs/>
          <w:color w:val="222222"/>
        </w:rPr>
      </w:pPr>
      <w:r>
        <w:rPr>
          <w:i/>
          <w:iCs/>
          <w:color w:val="222222"/>
        </w:rPr>
        <w:t xml:space="preserve">iii. Ancillary Surveys </w:t>
      </w:r>
    </w:p>
    <w:p w14:paraId="2DA50866" w14:textId="77777777" w:rsidR="00C9315D" w:rsidRDefault="003261EC">
      <w:pPr>
        <w:spacing w:before="240" w:after="120"/>
        <w:jc w:val="both"/>
        <w:rPr>
          <w:color w:val="222222"/>
        </w:rPr>
      </w:pPr>
      <w:r>
        <w:rPr>
          <w:color w:val="222222"/>
        </w:rPr>
        <w:t xml:space="preserve">Between-wave interactions also occur in the form of ancillary or side studies. These include additional questionnaires, supplementary modules, or biomedical and cognitive assessments. These ancillary studies may help maintain contact with participants for future waves of the study itself. While also valuable for enriching datasets, they may, however, also affect participation through increased perceived or actual burden. </w:t>
      </w:r>
    </w:p>
    <w:p w14:paraId="2F3FF338" w14:textId="77777777" w:rsidR="00C9315D" w:rsidRDefault="003261EC">
      <w:pPr>
        <w:spacing w:line="240" w:lineRule="auto"/>
        <w:ind w:left="1440" w:firstLine="720"/>
        <w:rPr>
          <w:color w:val="222222"/>
        </w:rPr>
      </w:pPr>
      <w:r>
        <w:rPr>
          <w:color w:val="222222"/>
        </w:rPr>
        <w:t>h. Predicted Response Probabilities</w:t>
      </w:r>
    </w:p>
    <w:p w14:paraId="43626DBB" w14:textId="77777777" w:rsidR="00C9315D" w:rsidRDefault="003261EC">
      <w:pPr>
        <w:pBdr>
          <w:top w:val="nil"/>
          <w:left w:val="nil"/>
          <w:bottom w:val="nil"/>
          <w:right w:val="nil"/>
          <w:between w:val="nil"/>
        </w:pBdr>
        <w:spacing w:before="240" w:after="120"/>
        <w:rPr>
          <w:color w:val="222222"/>
        </w:rPr>
      </w:pPr>
      <w:r>
        <w:rPr>
          <w:color w:val="222222"/>
        </w:rPr>
        <w:t xml:space="preserve">Several studies have used predicted response probabilities to allocate effort in locating, contacting, and securing participation (Jackson et al., 2020; Gummer et al., 2022). Collins and Kern (2025) used machine learning models to create predictions in the panel study context, but this approach should be used with caution as it may lead to the allocation of additional effort to very difficult cases and not yield any change in participation (Rosen et al., 2014). Peytchev et al. (2022) also look at how different statistical model predictions were used for targeting cases and their success. A recent experiment looked at using predicted response probabilities and used them to inform a stopping rule in the Health and Retirement Study (Wagner et al., 2023).   </w:t>
      </w:r>
    </w:p>
    <w:p w14:paraId="3218763A" w14:textId="77777777" w:rsidR="00C9315D" w:rsidRDefault="003261EC">
      <w:pPr>
        <w:pBdr>
          <w:top w:val="nil"/>
          <w:left w:val="nil"/>
          <w:bottom w:val="nil"/>
          <w:right w:val="nil"/>
          <w:between w:val="nil"/>
        </w:pBdr>
        <w:spacing w:before="240" w:after="120"/>
        <w:rPr>
          <w:color w:val="222222"/>
        </w:rPr>
      </w:pPr>
      <w:r>
        <w:rPr>
          <w:color w:val="222222"/>
        </w:rPr>
        <w:t xml:space="preserve">One advantage that panel studies have for predicting attrition is the extensive data collected from prior waves. Given this opportunity, longitudinal panel studies might explore whether there are other ways to predict the risk of attrition. </w:t>
      </w:r>
    </w:p>
    <w:p w14:paraId="6F7C59FF" w14:textId="77777777" w:rsidR="00C9315D" w:rsidRDefault="003261EC">
      <w:pPr>
        <w:spacing w:line="240" w:lineRule="auto"/>
        <w:ind w:left="1440" w:firstLine="720"/>
        <w:rPr>
          <w:color w:val="222222"/>
        </w:rPr>
      </w:pPr>
      <w:r>
        <w:rPr>
          <w:color w:val="222222"/>
        </w:rPr>
        <w:t>i. Life Events</w:t>
      </w:r>
    </w:p>
    <w:p w14:paraId="10957E0E" w14:textId="77777777" w:rsidR="00C9315D" w:rsidRDefault="003261EC">
      <w:pPr>
        <w:pBdr>
          <w:top w:val="nil"/>
          <w:left w:val="nil"/>
          <w:bottom w:val="nil"/>
          <w:right w:val="nil"/>
          <w:between w:val="nil"/>
        </w:pBdr>
        <w:spacing w:before="240" w:after="120"/>
        <w:rPr>
          <w:color w:val="222222"/>
        </w:rPr>
      </w:pPr>
      <w:r>
        <w:rPr>
          <w:color w:val="222222"/>
        </w:rPr>
        <w:t xml:space="preserve">Life events – such as marriage, divorce, loss of job, moving to another city, having children, health shocks, cognitive decline and institutionalization – that occur between waves of data collection are not only related to locating participants but also participation once located and contacted. These events are often difficult or even impossible to address using common adjustment strategies, although questions about the likelihood of partner transitions, employment changes, children, and residential mobility could be used to inform reasons for non-participation. Trappmann et al. (2015) made use of administrative records to show that changes in employment status, changes in household composition, and changes in receipt of benefits </w:t>
      </w:r>
      <w:r>
        <w:rPr>
          <w:color w:val="222222"/>
        </w:rPr>
        <w:lastRenderedPageBreak/>
        <w:t>were predictive of subsequent participation, mainly due to contact issues. A recent preprint paper (Salvatore et al., 2025) demonstrated that life events among youth, such as changing employment status or residential mobility increased the probability of attrition. On the other hand, living with parents was a protective factor that decreased the probability of attrition. Research on life events of older adults impacting participation in longitudinal studies is rare. Heid et al. (2021) found that impairments (e.g. self-reported Alzheimer’s, failed cognition test, entry into a nursing home) did lead to attrition through non-participation. A systematic literature review also found that cognitive impairment was associated with attrition, more broadly (Chatfield et al., 2005).</w:t>
      </w:r>
    </w:p>
    <w:p w14:paraId="5211A0A6" w14:textId="77777777" w:rsidR="00C9315D" w:rsidRDefault="003261EC">
      <w:pPr>
        <w:spacing w:before="240" w:after="120"/>
        <w:ind w:left="1440" w:firstLine="720"/>
        <w:rPr>
          <w:color w:val="222222"/>
        </w:rPr>
      </w:pPr>
      <w:r>
        <w:rPr>
          <w:color w:val="222222"/>
        </w:rPr>
        <w:t>j. Use of Proxy/Informant Interviews</w:t>
      </w:r>
    </w:p>
    <w:p w14:paraId="094CD7AD" w14:textId="77777777" w:rsidR="00C9315D" w:rsidRDefault="003261EC">
      <w:pPr>
        <w:spacing w:before="240" w:after="240"/>
        <w:rPr>
          <w:color w:val="222222"/>
        </w:rPr>
      </w:pPr>
      <w:r>
        <w:rPr>
          <w:color w:val="222222"/>
        </w:rPr>
        <w:t>Obtaining information on target participants from family members and friends through proxy or informant interviews is another important strategy to confront non-participation, especially if participants are unable to complete data collection themselves due to health shocks, cognitive decline and/or institutionalization (Andresen et al. 2000; Elliot et al. 2008; Moore 1988; Sakshaug 2015; Skidmore et al. 2012; Wright et al. 2007). While self-reported information is preferred over proxy information—especially for subjective data—it is often unclear whether self-report data are indeed more accurate than proxy reports in some circumstances (Cobb, 2018). For example, parent reports on minor children represent proxy information that is commonly seen as more accurate than self-reports of child behavior in the context of child development surveys.</w:t>
      </w:r>
    </w:p>
    <w:p w14:paraId="63FAB361" w14:textId="77777777" w:rsidR="00C9315D" w:rsidRDefault="003261EC">
      <w:pPr>
        <w:spacing w:before="240" w:after="240"/>
        <w:rPr>
          <w:color w:val="222222"/>
        </w:rPr>
      </w:pPr>
      <w:r>
        <w:rPr>
          <w:color w:val="222222"/>
        </w:rPr>
        <w:t xml:space="preserve">While there is also some evidence that agreement between self-reports and proxy reports can vary substantially, it is often unclear, which of the two types of data collected is more accurate, as corresponding assessments of accuracy require a valid, independent, external measure of the attribute in question, which is often not readily available (Cobb, 2018). In general, the accuracy of proxy reports is likely to depend on the nature of the attribute notably whether it is subjective or objective, the closeness of the relationship between the proxy respondent and the participant, the reliability of the proxy respondents, and how involved/knowledgeable the proxy respondent is with regard to the attribute domain concerning the targets’ characteristics and life circumstances (Cobb, 2018; Sakshaug 2015).  </w:t>
      </w:r>
    </w:p>
    <w:p w14:paraId="23C07E89" w14:textId="77777777" w:rsidR="00C9315D" w:rsidRDefault="003261EC">
      <w:pPr>
        <w:spacing w:before="240" w:after="240"/>
        <w:rPr>
          <w:color w:val="222222"/>
        </w:rPr>
      </w:pPr>
      <w:r>
        <w:rPr>
          <w:color w:val="222222"/>
        </w:rPr>
        <w:t xml:space="preserve">With regard to aging studies, proxy reports may also prove more accurate than self-reported information, especially for cases where participants suffer from severe health or cognitive impairments. Moreover, proxy interviewing may sometimes be the only solution to prevent attrition if the target participant is unable to participate in the study (Cobb, 2018). In practice, many national and international aging studies, such as the National Health and Aging Trends Study, or the Health and Retirement Study already include some proxy information in their main data collection efforts, including end-of-life interviews regarding participant’s end-of-life circumstances and cause of death. Alternatively, proxy data collection may be a part of a sub-study within the main study, such as the Harmonized Cognitive Assessment Protocol (HCAP). Systematic inclusion of proxy information can help in reducing bias, especially non-participation related to health shocks, cognitive decline and institutionalization (Weir et al. 2011). Proxy interviewing clearly holds promise to help address health- and cognition-related attrition in aging </w:t>
      </w:r>
      <w:r>
        <w:rPr>
          <w:color w:val="222222"/>
        </w:rPr>
        <w:lastRenderedPageBreak/>
        <w:t xml:space="preserve">studies, yet, several important questions remain under-researched to date including accuracy, reliable protocols for identifying proxy respondents, and participant acceptance of a proxy interview in place of self-participation.   </w:t>
      </w:r>
    </w:p>
    <w:p w14:paraId="2AC30FA2" w14:textId="77777777" w:rsidR="00C9315D" w:rsidRDefault="003261EC">
      <w:pPr>
        <w:spacing w:line="240" w:lineRule="auto"/>
        <w:rPr>
          <w:i/>
          <w:iCs/>
          <w:u w:val="single"/>
        </w:rPr>
      </w:pPr>
      <w:r>
        <w:rPr>
          <w:i/>
          <w:iCs/>
          <w:u w:val="single"/>
        </w:rPr>
        <w:t>Summary of Cooperation-Related Strategies</w:t>
      </w:r>
    </w:p>
    <w:p w14:paraId="183B86BB" w14:textId="77777777" w:rsidR="00C9315D" w:rsidRDefault="003261EC">
      <w:pPr>
        <w:pBdr>
          <w:top w:val="nil"/>
          <w:left w:val="nil"/>
          <w:bottom w:val="nil"/>
          <w:right w:val="nil"/>
          <w:between w:val="nil"/>
        </w:pBdr>
        <w:spacing w:before="240" w:after="120"/>
        <w:rPr>
          <w:color w:val="222222"/>
        </w:rPr>
      </w:pPr>
      <w:r>
        <w:rPr>
          <w:color w:val="222222"/>
        </w:rPr>
        <w:t xml:space="preserve">This section examined a number of design features that are related to cooperation. These include the design of previous waves, mode of interviewing, incentives, contact materials, sponsorship, between-wave contact, and the use of proxy respondents. In general, higher incentives lead to higher response rates, although the relationship is not linear. Using multiple modes of contact and interviewing tends to produce higher response rates. Participants who feel burdened during earlier waves of participation are less likely to participate in subsequent waves of data collection. However, no known research has explored how various other features of the design interact in additive or multiplicative ways to influence perceptions of burden. Moreover, no known research has investigated the combined use of various strategies simultaneously or sequentially to determine impact on participation. Thus, much more research is needed to better understand the individual and combined effects of strategies in order to increase participation rates in longitudinal aging studies.  </w:t>
      </w:r>
    </w:p>
    <w:p w14:paraId="3EAC7559" w14:textId="77777777" w:rsidR="00C9315D" w:rsidRDefault="003261EC">
      <w:pPr>
        <w:spacing w:before="240" w:after="120"/>
        <w:rPr>
          <w:i/>
          <w:iCs/>
          <w:color w:val="222222"/>
          <w:u w:val="single"/>
        </w:rPr>
      </w:pPr>
      <w:r>
        <w:rPr>
          <w:i/>
          <w:iCs/>
          <w:color w:val="222222"/>
          <w:u w:val="single"/>
        </w:rPr>
        <w:t>Open Questions and Gaps in Knowledge</w:t>
      </w:r>
    </w:p>
    <w:p w14:paraId="791EA0C2" w14:textId="77777777" w:rsidR="00C9315D" w:rsidRDefault="003261EC">
      <w:pPr>
        <w:numPr>
          <w:ilvl w:val="0"/>
          <w:numId w:val="2"/>
        </w:numPr>
        <w:spacing w:after="120" w:line="240" w:lineRule="auto"/>
        <w:ind w:left="360"/>
        <w:rPr>
          <w:color w:val="222222"/>
        </w:rPr>
      </w:pPr>
      <w:r>
        <w:rPr>
          <w:color w:val="222222"/>
        </w:rPr>
        <w:t>Respondents Experience of Prior Waves</w:t>
      </w:r>
    </w:p>
    <w:p w14:paraId="270A32FB" w14:textId="77777777" w:rsidR="00C9315D" w:rsidRDefault="003261EC">
      <w:pPr>
        <w:numPr>
          <w:ilvl w:val="0"/>
          <w:numId w:val="16"/>
        </w:numPr>
        <w:spacing w:after="120" w:line="240" w:lineRule="auto"/>
        <w:rPr>
          <w:color w:val="222222"/>
        </w:rPr>
      </w:pPr>
      <w:r>
        <w:rPr>
          <w:color w:val="222222"/>
        </w:rPr>
        <w:t>What survey features are most influential for older adults’ perceived burden? Very little research focuses on this subgroup or population of interest.</w:t>
      </w:r>
    </w:p>
    <w:p w14:paraId="4D528E71" w14:textId="77777777" w:rsidR="00C9315D" w:rsidRDefault="003261EC">
      <w:pPr>
        <w:numPr>
          <w:ilvl w:val="0"/>
          <w:numId w:val="16"/>
        </w:numPr>
        <w:spacing w:after="120" w:line="240" w:lineRule="auto"/>
        <w:rPr>
          <w:color w:val="222222"/>
        </w:rPr>
      </w:pPr>
      <w:r>
        <w:rPr>
          <w:color w:val="222222"/>
        </w:rPr>
        <w:t xml:space="preserve">How does burden affect older adults’ decisions to agree to subsequent survey requests? It is unknown if participant burden is a result of the same design features (e.g., length, topic, between wave engagement, sponsorship etc.) or if it is limited to fewer design features or resulting from alternative design features. </w:t>
      </w:r>
    </w:p>
    <w:p w14:paraId="732F54EC" w14:textId="77777777" w:rsidR="00C9315D" w:rsidRDefault="003261EC">
      <w:pPr>
        <w:numPr>
          <w:ilvl w:val="0"/>
          <w:numId w:val="16"/>
        </w:numPr>
        <w:spacing w:after="120" w:line="240" w:lineRule="auto"/>
        <w:rPr>
          <w:color w:val="222222"/>
        </w:rPr>
      </w:pPr>
      <w:r>
        <w:rPr>
          <w:color w:val="222222"/>
        </w:rPr>
        <w:t>How to take advantage of adaptive/responsive designs to reduce burden and attrition? The feasibility and utility of these strategies needs to be explored further.</w:t>
      </w:r>
    </w:p>
    <w:p w14:paraId="79D9D3B2" w14:textId="77777777" w:rsidR="00C9315D" w:rsidRDefault="003261EC">
      <w:pPr>
        <w:numPr>
          <w:ilvl w:val="0"/>
          <w:numId w:val="2"/>
        </w:numPr>
        <w:spacing w:after="120" w:line="240" w:lineRule="auto"/>
        <w:ind w:left="360"/>
        <w:rPr>
          <w:color w:val="222222"/>
        </w:rPr>
      </w:pPr>
      <w:r>
        <w:rPr>
          <w:color w:val="222222"/>
        </w:rPr>
        <w:t>Modes</w:t>
      </w:r>
    </w:p>
    <w:p w14:paraId="349B5E82" w14:textId="77777777" w:rsidR="00C9315D" w:rsidRDefault="003261EC">
      <w:pPr>
        <w:numPr>
          <w:ilvl w:val="0"/>
          <w:numId w:val="12"/>
        </w:numPr>
        <w:spacing w:after="120" w:line="240" w:lineRule="auto"/>
        <w:rPr>
          <w:color w:val="222222"/>
        </w:rPr>
      </w:pPr>
      <w:r>
        <w:rPr>
          <w:color w:val="222222"/>
        </w:rPr>
        <w:t>What targeted mixed-mode designs are most effective among subgroups in longitudinal surveys? Subgroup differences may result in differential effectiveness of mixed-mode designs.</w:t>
      </w:r>
    </w:p>
    <w:p w14:paraId="47856B08" w14:textId="77777777" w:rsidR="00C9315D" w:rsidRDefault="003261EC">
      <w:pPr>
        <w:numPr>
          <w:ilvl w:val="0"/>
          <w:numId w:val="2"/>
        </w:numPr>
        <w:spacing w:after="120" w:line="240" w:lineRule="auto"/>
        <w:ind w:left="360"/>
        <w:rPr>
          <w:color w:val="222222"/>
        </w:rPr>
      </w:pPr>
      <w:r>
        <w:rPr>
          <w:color w:val="222222"/>
        </w:rPr>
        <w:t>Incentives</w:t>
      </w:r>
    </w:p>
    <w:p w14:paraId="6467E885" w14:textId="77777777" w:rsidR="00C9315D" w:rsidRDefault="003261EC">
      <w:pPr>
        <w:numPr>
          <w:ilvl w:val="0"/>
          <w:numId w:val="8"/>
        </w:numPr>
        <w:spacing w:after="120" w:line="240" w:lineRule="auto"/>
        <w:rPr>
          <w:color w:val="222222"/>
        </w:rPr>
      </w:pPr>
      <w:r>
        <w:rPr>
          <w:color w:val="222222"/>
        </w:rPr>
        <w:t>How does the effect of types, values, and formats of incentives vary over time for studies of older adults? Priorities of older adults may vary from younger persons or the general population.</w:t>
      </w:r>
    </w:p>
    <w:p w14:paraId="015035A0" w14:textId="77777777" w:rsidR="00C9315D" w:rsidRDefault="003261EC">
      <w:pPr>
        <w:numPr>
          <w:ilvl w:val="0"/>
          <w:numId w:val="8"/>
        </w:numPr>
        <w:spacing w:after="120" w:line="240" w:lineRule="auto"/>
        <w:rPr>
          <w:color w:val="222222"/>
        </w:rPr>
      </w:pPr>
      <w:r>
        <w:rPr>
          <w:color w:val="222222"/>
        </w:rPr>
        <w:t>Are combinations of pre- and postpaid incentives more effective in longitudinal survey settings than either pre- or postpaid incentives alone? No known research has explored the combination of incentive strategies, particularly in the context of panel studies.</w:t>
      </w:r>
    </w:p>
    <w:p w14:paraId="7D25DF89" w14:textId="77777777" w:rsidR="00C9315D" w:rsidRDefault="003261EC">
      <w:pPr>
        <w:numPr>
          <w:ilvl w:val="0"/>
          <w:numId w:val="2"/>
        </w:numPr>
        <w:spacing w:after="120" w:line="240" w:lineRule="auto"/>
        <w:ind w:left="360"/>
        <w:rPr>
          <w:color w:val="222222"/>
        </w:rPr>
      </w:pPr>
      <w:r>
        <w:rPr>
          <w:color w:val="222222"/>
        </w:rPr>
        <w:t xml:space="preserve">Topic </w:t>
      </w:r>
    </w:p>
    <w:p w14:paraId="30FD959D" w14:textId="77777777" w:rsidR="00C9315D" w:rsidRDefault="003261EC">
      <w:pPr>
        <w:numPr>
          <w:ilvl w:val="0"/>
          <w:numId w:val="6"/>
        </w:numPr>
        <w:spacing w:after="120" w:line="240" w:lineRule="auto"/>
        <w:rPr>
          <w:color w:val="222222"/>
        </w:rPr>
      </w:pPr>
      <w:r>
        <w:rPr>
          <w:color w:val="222222"/>
        </w:rPr>
        <w:t xml:space="preserve">Since topic interest seems to motivate respondents, how can this be used in practice for longitudinal studies? The identification of topics of particular interest to subgroups is </w:t>
      </w:r>
      <w:r>
        <w:rPr>
          <w:color w:val="222222"/>
        </w:rPr>
        <w:lastRenderedPageBreak/>
        <w:t>needed as well as the way to frame undesirable topics in a manner to prevent non-participation.</w:t>
      </w:r>
    </w:p>
    <w:p w14:paraId="0B617D62" w14:textId="77777777" w:rsidR="00C9315D" w:rsidRDefault="003261EC">
      <w:pPr>
        <w:numPr>
          <w:ilvl w:val="0"/>
          <w:numId w:val="2"/>
        </w:numPr>
        <w:spacing w:after="120" w:line="240" w:lineRule="auto"/>
        <w:ind w:left="360"/>
        <w:rPr>
          <w:color w:val="222222"/>
        </w:rPr>
      </w:pPr>
      <w:r>
        <w:rPr>
          <w:color w:val="222222"/>
        </w:rPr>
        <w:t>Instrument Length</w:t>
      </w:r>
    </w:p>
    <w:p w14:paraId="3613C7CF" w14:textId="77777777" w:rsidR="00C9315D" w:rsidRDefault="003261EC">
      <w:pPr>
        <w:numPr>
          <w:ilvl w:val="0"/>
          <w:numId w:val="17"/>
        </w:numPr>
        <w:spacing w:after="120" w:line="240" w:lineRule="auto"/>
        <w:rPr>
          <w:color w:val="222222"/>
        </w:rPr>
      </w:pPr>
      <w:r>
        <w:rPr>
          <w:color w:val="222222"/>
        </w:rPr>
        <w:t>What are the tradeoffs between longer surveys gathering more data now (with possible higher attrition later) compared to shorter surveys now with possible lower attrition later? The costs and benefits of various strategies are not directly compared.</w:t>
      </w:r>
    </w:p>
    <w:p w14:paraId="2FE5144F" w14:textId="77777777" w:rsidR="00C9315D" w:rsidRDefault="003261EC">
      <w:pPr>
        <w:numPr>
          <w:ilvl w:val="0"/>
          <w:numId w:val="2"/>
        </w:numPr>
        <w:spacing w:after="120" w:line="240" w:lineRule="auto"/>
        <w:ind w:left="360"/>
        <w:rPr>
          <w:color w:val="222222"/>
        </w:rPr>
      </w:pPr>
      <w:r>
        <w:rPr>
          <w:color w:val="222222"/>
        </w:rPr>
        <w:t>Sponsorship</w:t>
      </w:r>
    </w:p>
    <w:p w14:paraId="0248F8D0" w14:textId="77777777" w:rsidR="00C9315D" w:rsidRDefault="003261EC">
      <w:pPr>
        <w:numPr>
          <w:ilvl w:val="0"/>
          <w:numId w:val="10"/>
        </w:numPr>
        <w:spacing w:after="120" w:line="240" w:lineRule="auto"/>
        <w:rPr>
          <w:color w:val="222222"/>
        </w:rPr>
      </w:pPr>
      <w:r>
        <w:rPr>
          <w:color w:val="222222"/>
        </w:rPr>
        <w:t>Is sponsorship important in longitudinal studies? It is unknown if sponsorship is important beyond the initial recruitment or how changing sponsorship might impact participation if it is relevant at all after enrollment.</w:t>
      </w:r>
    </w:p>
    <w:p w14:paraId="447DFC6F" w14:textId="77777777" w:rsidR="00C9315D" w:rsidRDefault="003261EC">
      <w:pPr>
        <w:numPr>
          <w:ilvl w:val="0"/>
          <w:numId w:val="2"/>
        </w:numPr>
        <w:spacing w:after="120" w:line="240" w:lineRule="auto"/>
        <w:ind w:left="360"/>
        <w:rPr>
          <w:color w:val="222222"/>
        </w:rPr>
      </w:pPr>
      <w:r>
        <w:rPr>
          <w:color w:val="222222"/>
        </w:rPr>
        <w:t>Between-Wave Engagement Strategies</w:t>
      </w:r>
    </w:p>
    <w:p w14:paraId="304A02FF" w14:textId="77777777" w:rsidR="00C9315D" w:rsidRDefault="003261EC">
      <w:pPr>
        <w:numPr>
          <w:ilvl w:val="0"/>
          <w:numId w:val="4"/>
        </w:numPr>
        <w:spacing w:line="240" w:lineRule="auto"/>
        <w:rPr>
          <w:color w:val="222222"/>
        </w:rPr>
      </w:pPr>
      <w:r>
        <w:rPr>
          <w:color w:val="222222"/>
        </w:rPr>
        <w:t>Is it possible to identify groups for whom engagement strategies are more useful or the combination of engagement strategies results in greater participation? The relevance of engagement strategies across subgroups as well as the combined effect of strategies is unknown.</w:t>
      </w:r>
    </w:p>
    <w:p w14:paraId="2261C4DC" w14:textId="77777777" w:rsidR="00C9315D" w:rsidRDefault="003261EC">
      <w:pPr>
        <w:numPr>
          <w:ilvl w:val="0"/>
          <w:numId w:val="4"/>
        </w:numPr>
        <w:spacing w:after="120" w:line="240" w:lineRule="auto"/>
        <w:rPr>
          <w:color w:val="222222"/>
        </w:rPr>
      </w:pPr>
      <w:r>
        <w:rPr>
          <w:color w:val="222222"/>
        </w:rPr>
        <w:t>Can engagement strategies be tailored to the characteristics of the person? This moves beyond subgroups to target individuals.</w:t>
      </w:r>
    </w:p>
    <w:p w14:paraId="1BC9E5B2" w14:textId="77777777" w:rsidR="00C9315D" w:rsidRDefault="003261EC">
      <w:pPr>
        <w:numPr>
          <w:ilvl w:val="0"/>
          <w:numId w:val="2"/>
        </w:numPr>
        <w:spacing w:after="120" w:line="240" w:lineRule="auto"/>
        <w:ind w:left="360"/>
        <w:rPr>
          <w:color w:val="222222"/>
        </w:rPr>
      </w:pPr>
      <w:r>
        <w:rPr>
          <w:color w:val="222222"/>
        </w:rPr>
        <w:t>Predicted Response Probabilities</w:t>
      </w:r>
    </w:p>
    <w:p w14:paraId="2B7D92DD" w14:textId="77777777" w:rsidR="00C9315D" w:rsidRDefault="003261EC">
      <w:pPr>
        <w:numPr>
          <w:ilvl w:val="0"/>
          <w:numId w:val="15"/>
        </w:numPr>
        <w:spacing w:after="120" w:line="240" w:lineRule="auto"/>
        <w:rPr>
          <w:color w:val="222222"/>
        </w:rPr>
      </w:pPr>
      <w:r>
        <w:rPr>
          <w:color w:val="222222"/>
        </w:rPr>
        <w:t>Under what conditions should cases be targeted based on predictions? There is a need to identify the accuracy and yield of high-probability cases as well as the conditions and thresholds under which low-probability cases should be targeted.</w:t>
      </w:r>
    </w:p>
    <w:p w14:paraId="0B7800C7" w14:textId="77777777" w:rsidR="00C9315D" w:rsidRDefault="003261EC">
      <w:pPr>
        <w:numPr>
          <w:ilvl w:val="0"/>
          <w:numId w:val="15"/>
        </w:numPr>
        <w:spacing w:after="120" w:line="240" w:lineRule="auto"/>
        <w:rPr>
          <w:color w:val="222222"/>
        </w:rPr>
      </w:pPr>
      <w:r>
        <w:rPr>
          <w:color w:val="222222"/>
        </w:rPr>
        <w:t>How should predictors in models predicting response be selected? Additional consideration to the ethics of prediction is needed.</w:t>
      </w:r>
    </w:p>
    <w:p w14:paraId="15C299A1" w14:textId="77777777" w:rsidR="00C9315D" w:rsidRDefault="003261EC">
      <w:pPr>
        <w:numPr>
          <w:ilvl w:val="0"/>
          <w:numId w:val="2"/>
        </w:numPr>
        <w:spacing w:after="120" w:line="240" w:lineRule="auto"/>
        <w:ind w:left="360"/>
        <w:rPr>
          <w:color w:val="222222"/>
        </w:rPr>
      </w:pPr>
      <w:r>
        <w:rPr>
          <w:color w:val="222222"/>
        </w:rPr>
        <w:t>Life Events</w:t>
      </w:r>
    </w:p>
    <w:p w14:paraId="658C65F7" w14:textId="77777777" w:rsidR="00C9315D" w:rsidRDefault="003261EC">
      <w:pPr>
        <w:numPr>
          <w:ilvl w:val="0"/>
          <w:numId w:val="1"/>
        </w:numPr>
        <w:spacing w:after="120" w:line="240" w:lineRule="auto"/>
        <w:rPr>
          <w:color w:val="222222"/>
        </w:rPr>
      </w:pPr>
      <w:r>
        <w:rPr>
          <w:color w:val="222222"/>
        </w:rPr>
        <w:t xml:space="preserve">How can the impact of life events be mitigated? Many of these life events make location, contact, or participation more difficult. Often, these life events are difficult to predict. </w:t>
      </w:r>
    </w:p>
    <w:p w14:paraId="5630A293" w14:textId="77777777" w:rsidR="00C9315D" w:rsidRDefault="003261EC">
      <w:pPr>
        <w:spacing w:before="240" w:after="240" w:line="240" w:lineRule="auto"/>
        <w:rPr>
          <w:rFonts w:ascii="Times New Roman" w:eastAsia="Times New Roman" w:hAnsi="Times New Roman" w:cs="Times New Roman"/>
          <w:color w:val="222222"/>
          <w:sz w:val="14"/>
          <w:szCs w:val="14"/>
        </w:rPr>
      </w:pPr>
      <w:r>
        <w:rPr>
          <w:color w:val="222222"/>
        </w:rPr>
        <w:t>10. Proxy Interviews</w:t>
      </w:r>
    </w:p>
    <w:p w14:paraId="22D9C62F" w14:textId="77777777" w:rsidR="00C9315D" w:rsidRDefault="003261EC">
      <w:pPr>
        <w:numPr>
          <w:ilvl w:val="0"/>
          <w:numId w:val="15"/>
        </w:numPr>
        <w:pBdr>
          <w:top w:val="nil"/>
          <w:left w:val="nil"/>
          <w:bottom w:val="nil"/>
          <w:right w:val="nil"/>
          <w:between w:val="nil"/>
        </w:pBdr>
        <w:spacing w:after="120" w:line="240" w:lineRule="auto"/>
        <w:rPr>
          <w:color w:val="222222"/>
        </w:rPr>
      </w:pPr>
      <w:r>
        <w:rPr>
          <w:color w:val="222222"/>
        </w:rPr>
        <w:t>When and under which circumstances should a study rely on proxy information? Clear protocols are needed as well as a review of the effectiveness of such protocols.</w:t>
      </w:r>
    </w:p>
    <w:p w14:paraId="1794B851" w14:textId="77777777" w:rsidR="00C9315D" w:rsidRDefault="003261EC">
      <w:pPr>
        <w:numPr>
          <w:ilvl w:val="0"/>
          <w:numId w:val="15"/>
        </w:numPr>
        <w:pBdr>
          <w:top w:val="nil"/>
          <w:left w:val="nil"/>
          <w:bottom w:val="nil"/>
          <w:right w:val="nil"/>
          <w:between w:val="nil"/>
        </w:pBdr>
        <w:spacing w:after="120" w:line="240" w:lineRule="auto"/>
        <w:rPr>
          <w:color w:val="222222"/>
        </w:rPr>
      </w:pPr>
      <w:r>
        <w:rPr>
          <w:color w:val="222222"/>
        </w:rPr>
        <w:t>When, who, and how many people should be enrolled as potential proxies and how should they be integrated into panel retention efforts? Proxies can provide valuable information but it is unclear if they should be treated as participants themselves.</w:t>
      </w:r>
    </w:p>
    <w:p w14:paraId="3F6FBA97" w14:textId="77777777" w:rsidR="00C9315D" w:rsidRDefault="003261EC">
      <w:pPr>
        <w:numPr>
          <w:ilvl w:val="0"/>
          <w:numId w:val="15"/>
        </w:numPr>
        <w:pBdr>
          <w:top w:val="nil"/>
          <w:left w:val="nil"/>
          <w:bottom w:val="nil"/>
          <w:right w:val="nil"/>
          <w:between w:val="nil"/>
        </w:pBdr>
        <w:spacing w:after="120" w:line="240" w:lineRule="auto"/>
        <w:rPr>
          <w:color w:val="222222"/>
        </w:rPr>
      </w:pPr>
      <w:r>
        <w:rPr>
          <w:color w:val="222222"/>
        </w:rPr>
        <w:t>How to reach out and interview potential proxy respondents? The best-practices for proxy participation have not been identified and are largely ignored.</w:t>
      </w:r>
    </w:p>
    <w:p w14:paraId="3C56116A" w14:textId="77777777" w:rsidR="00C9315D" w:rsidRDefault="003261EC">
      <w:pPr>
        <w:numPr>
          <w:ilvl w:val="0"/>
          <w:numId w:val="15"/>
        </w:numPr>
        <w:pBdr>
          <w:top w:val="nil"/>
          <w:left w:val="nil"/>
          <w:bottom w:val="nil"/>
          <w:right w:val="nil"/>
          <w:between w:val="nil"/>
        </w:pBdr>
        <w:spacing w:after="120" w:line="240" w:lineRule="auto"/>
        <w:rPr>
          <w:color w:val="222222"/>
        </w:rPr>
      </w:pPr>
      <w:r>
        <w:rPr>
          <w:color w:val="222222"/>
        </w:rPr>
        <w:t xml:space="preserve">What information about the participant can and should be elicited from (different) proxy respondents and how should this information be collected? Ethical considerations of using proxies to measure sensitive topics such as physical and mental health should be considered. </w:t>
      </w:r>
    </w:p>
    <w:p w14:paraId="4CE6F230" w14:textId="77777777" w:rsidR="00C9315D" w:rsidRDefault="00C9315D">
      <w:pPr>
        <w:rPr>
          <w:color w:val="222222"/>
        </w:rPr>
      </w:pPr>
    </w:p>
    <w:p w14:paraId="52E5FDBE" w14:textId="77777777" w:rsidR="00C9315D" w:rsidRDefault="00C9315D">
      <w:pPr>
        <w:spacing w:line="240" w:lineRule="auto"/>
        <w:rPr>
          <w:b/>
          <w:bCs/>
          <w:color w:val="222222"/>
        </w:rPr>
      </w:pPr>
    </w:p>
    <w:p w14:paraId="5C4447D9" w14:textId="77777777" w:rsidR="00C9315D" w:rsidRDefault="003261EC">
      <w:pPr>
        <w:spacing w:line="240" w:lineRule="auto"/>
        <w:rPr>
          <w:b/>
          <w:bCs/>
          <w:color w:val="222222"/>
        </w:rPr>
      </w:pPr>
      <w:r>
        <w:br w:type="page"/>
      </w:r>
    </w:p>
    <w:p w14:paraId="42854A44" w14:textId="77777777" w:rsidR="00C9315D" w:rsidRDefault="003261EC">
      <w:pPr>
        <w:spacing w:line="240" w:lineRule="auto"/>
        <w:rPr>
          <w:b/>
          <w:bCs/>
          <w:color w:val="222222"/>
        </w:rPr>
      </w:pPr>
      <w:r>
        <w:rPr>
          <w:b/>
          <w:bCs/>
          <w:color w:val="222222"/>
        </w:rPr>
        <w:lastRenderedPageBreak/>
        <w:t xml:space="preserve">4. Assessment of Nonresponse and Attrition Bias </w:t>
      </w:r>
    </w:p>
    <w:p w14:paraId="0E7EE4E7" w14:textId="77777777" w:rsidR="00C9315D" w:rsidRDefault="00C9315D">
      <w:pPr>
        <w:spacing w:line="240" w:lineRule="auto"/>
      </w:pPr>
    </w:p>
    <w:p w14:paraId="35202F5C" w14:textId="77777777" w:rsidR="00C9315D" w:rsidRDefault="003261EC">
      <w:r>
        <w:t xml:space="preserve">Nonresponse bias is a function of the response rate and differences between responders and nonresponders with respect to some estimand. It can also be expressed as a function of the covariance between a response probability and the survey variable of interest. In either case, the response rate or response probability is only part of the equation. Therefore, assessing bias also should involve evaluating differences between responders and nonresponders with respect to the survey variables of interest. The conclusions can vary across variables. </w:t>
      </w:r>
    </w:p>
    <w:p w14:paraId="2EC5B42A" w14:textId="77777777" w:rsidR="00C9315D" w:rsidRDefault="00C9315D"/>
    <w:p w14:paraId="719D7DA1" w14:textId="77777777" w:rsidR="00C9315D" w:rsidRDefault="003261EC">
      <w:r>
        <w:t xml:space="preserve">Attrition bias can be more complex. Attrition occurs when participants fail to complete one or more waves of a panel survey. This attrition can be temporary (missing one or even a few waves) or permanent (leaving the study and never returning). Panel studies will have rules that define when attrition becomes permanent (e.g. participants will no longer be followed after missing two waves). Attrition bias can occur when estimates differ between those who are measured at all time points involved in the analysis and those who are not. Attrition can be especially harmful to estimates of change.  </w:t>
      </w:r>
    </w:p>
    <w:p w14:paraId="41E9898A" w14:textId="77777777" w:rsidR="00C9315D" w:rsidRDefault="00C9315D"/>
    <w:p w14:paraId="374E5D4F" w14:textId="77777777" w:rsidR="00C9315D" w:rsidRDefault="003261EC">
      <w:r>
        <w:t xml:space="preserve">In most practical situations, it is impossible to calculate the bias due to nonresponse or attrition. This is because the data for the nonrespondents or attritors is unobserved. However, there are a number of evaluative approaches that can be taken to help assess whether there is a risk of bias in any given wave of a panel or in estimates of change across waves. </w:t>
      </w:r>
    </w:p>
    <w:p w14:paraId="545E61EF" w14:textId="77777777" w:rsidR="00C9315D" w:rsidRDefault="00C9315D"/>
    <w:p w14:paraId="43DFFD8B" w14:textId="77777777" w:rsidR="00C9315D" w:rsidRDefault="003261EC">
      <w:r>
        <w:t xml:space="preserve">The response rate is one useful indicator of quality. There is an association -- although somewhat weak -- between response rates and nonresponse biases in specialized studies that have the survey variable for the full sample (Brick and Tourangeau, 2017). It is important to consider the mechanism producing the attrition and try to undercut it using appropriate design elements. </w:t>
      </w:r>
    </w:p>
    <w:p w14:paraId="030E90AC" w14:textId="77777777" w:rsidR="00C9315D" w:rsidRDefault="00C9315D"/>
    <w:p w14:paraId="60D0BB6C" w14:textId="77777777" w:rsidR="00C9315D" w:rsidRDefault="003261EC">
      <w:r>
        <w:t xml:space="preserve">There are other proxy indicators for the risk of nonresponse bias (Wagner, 2012) which can also be used to evaluate attrition. These indicators rely upon having strong predictors of the survey variables of interest. Some of these indicators are calculated at the survey level and indicate overall balance of response. For example, the R-Indicator looks at the variation in estimated response probabilities, with higher variation being an indicator of imbalance with respect to the predictors in the model (Schouten et al., 2009). Other indicators are calculated at the statistical level and involve the use of the survey data themselves. Some of these indicators assume that data are missing at random (e.g. the fraction of missing information, which is an imputation based measure of missingness; Wagner, 2010). Other indicators test the sensitivity of estimates to assumptions about data that are not missing at random (Little et al, 2019). </w:t>
      </w:r>
    </w:p>
    <w:p w14:paraId="42B30D21" w14:textId="77777777" w:rsidR="00C9315D" w:rsidRDefault="00C9315D"/>
    <w:p w14:paraId="6A0B953C" w14:textId="77777777" w:rsidR="00C9315D" w:rsidRDefault="003261EC">
      <w:r>
        <w:t xml:space="preserve">There are several methods for testing for bias. Comparing respondents to the sample (e.g. the R-Indicator) is one type of comparison. In panel studies, it is also possible to compare attritors in a wave to the full set of respondents in a previous wave (Lepkowski and Couper, 2002) using the survey data from the previous wave. </w:t>
      </w:r>
    </w:p>
    <w:p w14:paraId="59690E5D" w14:textId="77777777" w:rsidR="00C9315D" w:rsidRDefault="00C9315D"/>
    <w:p w14:paraId="2E58F162" w14:textId="77777777" w:rsidR="00C9315D" w:rsidRDefault="003261EC">
      <w:r>
        <w:lastRenderedPageBreak/>
        <w:t>A second type of comparison is to compare respondents to the population. For this approach, estimates of the population need to be available. In panel studies, and especially for longitudinal analyses, careful consideration of the definition of the population is important. Is it living persons who were eligible at the time of recruitment? Has the panel been updated to account for immigration? The definition of the population allows for the careful elaboration of that population’s particular characteristics from official sources such as a census. The more strongly these known population characteristics are to the variables of the survey of interest, the more useful they are likely to be. Estimates from the panel can also include comparisons to benchmark surveys, and even trends from these benchmark surveys (Schoeni, et al., 2013). That is, comparisons to surveys that have high budgets and minimize errors due to measurement or nonresponse by design. It is also possible to compare late responders to early responders (e.g. Gummer &amp; Struminskaya, 2023). This evaluates whether the protocol is recruiting a different type of respondent in its later phases. This can be particularly useful when design changes are made over time, as in a responsive survey design. Finally, it is also possible to do special, follow-up studies of attritors. These studies usually use a different, more expensive design or possibly a shorter instrument to measure how attritors and stayers may differ. In this way, it is similar to the comparison of late and early responders. However, the special study is usually designed to recruit a different type of respondent and is also usually much more costly.</w:t>
      </w:r>
    </w:p>
    <w:p w14:paraId="25311026" w14:textId="77777777" w:rsidR="00C9315D" w:rsidRDefault="00C9315D"/>
    <w:p w14:paraId="66454995" w14:textId="77777777" w:rsidR="00C9315D" w:rsidRDefault="00C9315D"/>
    <w:p w14:paraId="0B24D9C9" w14:textId="77777777" w:rsidR="00C9315D" w:rsidRDefault="003261EC">
      <w:pPr>
        <w:rPr>
          <w:i/>
          <w:iCs/>
        </w:rPr>
      </w:pPr>
      <w:r>
        <w:rPr>
          <w:b/>
          <w:bCs/>
          <w:color w:val="222222"/>
        </w:rPr>
        <w:t xml:space="preserve">5. Post-Survey Adjustment Procedures </w:t>
      </w:r>
    </w:p>
    <w:p w14:paraId="1FC3A2C7" w14:textId="77777777" w:rsidR="00C9315D" w:rsidRDefault="00C9315D">
      <w:pPr>
        <w:spacing w:after="160"/>
      </w:pPr>
    </w:p>
    <w:p w14:paraId="2F486CF5" w14:textId="77777777" w:rsidR="00C9315D" w:rsidRDefault="003261EC">
      <w:pPr>
        <w:spacing w:after="160"/>
      </w:pPr>
      <w:r>
        <w:t xml:space="preserve">Post-survey adjustments can be used to reduce bias. In most cases, the biases are unknown. Therefore, the effectiveness of any particular adjustment strategy is unknown. Usually, a model is explicitly or implicitly used to identify differences in response rates across subgroups. These subgroups are then weighted to their proportion in the sample or population. To the extent that these subgroups differ with respect to the survey outcome variables, adjustments based on differentially weighting these subgroups should lead to changes in estimates. These changes might indicate a reduction in bias. They might also indicate an increase in bias. Kalton and Kasprzyk (1986) give a description of what this type of weighting adjustment can accomplish under various circumstances. </w:t>
      </w:r>
    </w:p>
    <w:p w14:paraId="0888C37B" w14:textId="77777777" w:rsidR="00C9315D" w:rsidRDefault="003261EC">
      <w:pPr>
        <w:spacing w:after="160"/>
      </w:pPr>
      <w:r>
        <w:t>In general, these types of adjustments fall into two broad classes: sample-based and population-based adjustments.</w:t>
      </w:r>
    </w:p>
    <w:p w14:paraId="01BFFC4F" w14:textId="77777777" w:rsidR="00C9315D" w:rsidRDefault="003261EC">
      <w:pPr>
        <w:spacing w:after="160"/>
      </w:pPr>
      <w:r>
        <w:t>Sample-based adjustments use the characteristics of the sample to account for missing values due to nonresponse. Under this approach, characteristics of the sample are used to predict response. Then the inverse of the estimated response probability, or subgroup response rate in the case of categorical predictors or stratified response probabilities, are used as adjustment factors. In panel surveys, the use of data from previous waves can improve the performance of weights (Lepkowski and Couper, 2002). Little and Vartivarian (2003) suggest that these adjustment factors should be calculated without the use of design weights. Recent research on adjustment strategies is summarized by Brick (2013).</w:t>
      </w:r>
    </w:p>
    <w:p w14:paraId="3D3F2623" w14:textId="77777777" w:rsidR="00C9315D" w:rsidRDefault="003261EC">
      <w:pPr>
        <w:spacing w:after="160"/>
      </w:pPr>
      <w:r>
        <w:lastRenderedPageBreak/>
        <w:t>Another sample-based approach to accounting for missing data is imputation. Imputation creates plausible values to be inserted into the observed data. Generally, plausible values are generated using a model that relates sample characteristics to the observed survey data and then generates predictions for the missing values. These predictions can include a stochastic element (e.g. a random draw of a residual from all residuals in a regression model predicting the survey variable using the sample characteristics). Best practice for imputation is to use a stochastic approach and multiple imputations for each value. This allows estimated variance to account for uncertainty due to the prediction of the missing values. Imputation is often used to fill in item-missing values, but it can be used to fill in all the missing values in the sample (i.e. both item and unit nonresponse). Imputation is particularly useful in the panel setting. If analysis involves more than one wave, attrition in one or more waves may lead to a large reduction in the cases available for analysis. Imputation can more easily resolve these missing data issues than weighting strategies. A weighting strategy might throw out all cases that have missing data and then weight the fully observed cases to represent the full sample. Imputation can make use of observed values for cases with some missing data. Raghunathan (2016) provides a useful introduction to imputation.</w:t>
      </w:r>
    </w:p>
    <w:p w14:paraId="3AA6D27A" w14:textId="77777777" w:rsidR="00C9315D" w:rsidRDefault="003261EC">
      <w:pPr>
        <w:spacing w:after="160"/>
      </w:pPr>
      <w:r>
        <w:t>It is also possible to use population-level information to make weighting adjustments. The broad class of these methods are known as calibration (Deville and Särndal, 1992). The most common form of calibration is known as poststratification (Holt and Smith, 1979). Poststratification involves using population-level counts to develop weighting adjustments. These counts are assumed to be known totals or rates. The respondents are then adjusted so that their characteristics match those of the population. This can be done using cross-classification of the categories of several variables. It can also be accomplished in a procedure known as “raking” by adjusting to the marginal distribution of the population values for each variable iteratively until all marginal weighted values converge to the population totals. Raking does not account for any interaction among the variables used. These approaches may reduce bias in a fashion similar to the sample-based adjustments described earlier. They are also sometimes used to account for coverage error and can reduce sampling error in some instances as well. Valliant et al. (2018) provide a useful summary of calibration and poststratification, including examples with R code.</w:t>
      </w:r>
    </w:p>
    <w:p w14:paraId="2CE560EC" w14:textId="77777777" w:rsidR="00C9315D" w:rsidRDefault="00C9315D">
      <w:pPr>
        <w:spacing w:after="160"/>
      </w:pPr>
    </w:p>
    <w:p w14:paraId="76C405F6" w14:textId="77777777" w:rsidR="00C9315D" w:rsidRDefault="003261EC">
      <w:pPr>
        <w:spacing w:after="160" w:line="259" w:lineRule="auto"/>
      </w:pPr>
      <w:r>
        <w:rPr>
          <w:b/>
          <w:bCs/>
        </w:rPr>
        <w:t>6. References</w:t>
      </w:r>
    </w:p>
    <w:p w14:paraId="5925B277" w14:textId="77777777" w:rsidR="00C9315D" w:rsidRDefault="003261EC">
      <w:pPr>
        <w:spacing w:before="240" w:after="160" w:line="256" w:lineRule="auto"/>
        <w:ind w:left="720" w:hanging="720"/>
      </w:pPr>
      <w:r>
        <w:t>Al Baghal, T., Allum, N., Auspurg, K., Blake, M., Booker, C., Crossley, T., D’Ardenne, J., Fairbrother, M., Iacovou, M., Jäckle, A., Kaminska, O., Lynn, P., Nicoletti, C., Oldfield, Z., Pudney, S., Schnettler, S., Uhrig, N., &amp; Winter, J. (2014). Understanding society innovation panel wave 6: results from methodological experiments. Understanding Society Working Paper Series.</w:t>
      </w:r>
    </w:p>
    <w:p w14:paraId="163C6210" w14:textId="77777777" w:rsidR="00C9315D" w:rsidRDefault="003261EC">
      <w:pPr>
        <w:spacing w:before="240" w:after="160" w:line="256" w:lineRule="auto"/>
        <w:ind w:left="720" w:hanging="720"/>
      </w:pPr>
      <w:r>
        <w:t>Al Baghal, T., Bloom, A., Burton, J., Booker, C., Cernat, A., Fairbrother, M., Jäckle, A., Kaminska, O., Keusch, F., Krosnick, J. A., Lynn, P., Oberski, D., Pudney, S., Sala, E., Schnettler, S., Silber, H., Stark, T., Uhrig, N., &amp; Yan, T. (2015). Understanding society innovation panel wave 7: results from methodological experiments. Understanding Society Working Paper Series.</w:t>
      </w:r>
    </w:p>
    <w:p w14:paraId="258AC9B2" w14:textId="77777777" w:rsidR="00C9315D" w:rsidRDefault="003261EC">
      <w:pPr>
        <w:spacing w:before="240" w:after="160" w:line="256" w:lineRule="auto"/>
        <w:ind w:left="720" w:hanging="720"/>
      </w:pPr>
      <w:r>
        <w:lastRenderedPageBreak/>
        <w:t>Al Baghal, T., Bryson, C., Fisher, H., Hanson, T., Jessop, C., Low, H., Lynn, P., Martin, N., McKay, S., Sloan, L., &amp; Sobolewska, M. (2018). Understanding Society Innovation Panel Wave 10: Results from Methodological Experiments. Understanding Society Working Paper Series, 2018.</w:t>
      </w:r>
    </w:p>
    <w:p w14:paraId="586868E3" w14:textId="77777777" w:rsidR="00C9315D" w:rsidRDefault="003261EC">
      <w:pPr>
        <w:spacing w:before="240" w:after="160" w:line="256" w:lineRule="auto"/>
        <w:ind w:left="720" w:hanging="720"/>
      </w:pPr>
      <w:r>
        <w:t>Al Baghal, T., Creighton, M., Dykema, J., Gaia, A., Cernat, A., Garbarski, D., Jamal, A., Kaminska, O., Keusch, F., Lynn, P., Oberski, D., Schaeffer, N. C., Uhrig, N., &amp; Yan, T. (2016). Understanding society innovation panel wave 8: results from methodological experiments. Understanding Society Working Paper Series.</w:t>
      </w:r>
    </w:p>
    <w:p w14:paraId="388CA149" w14:textId="77777777" w:rsidR="00C9315D" w:rsidRDefault="003261EC">
      <w:pPr>
        <w:spacing w:before="240" w:after="160" w:line="256" w:lineRule="auto"/>
        <w:ind w:left="720" w:hanging="720"/>
      </w:pPr>
      <w:r>
        <w:t xml:space="preserve">Andresen, Elena M., Carol A. Fitch, Patricia M. McLendon, and Allen R. Meyers (2000). Reliability and Validity of Disability Questions for U.S. Census 2000. </w:t>
      </w:r>
      <w:r>
        <w:rPr>
          <w:i/>
          <w:iCs/>
        </w:rPr>
        <w:t>American Journal of Public Health</w:t>
      </w:r>
      <w:r>
        <w:t xml:space="preserve">, vol. 90, no. 8, pp. 1297–1299. </w:t>
      </w:r>
    </w:p>
    <w:p w14:paraId="061438AD" w14:textId="77777777" w:rsidR="00C9315D" w:rsidRDefault="003261EC">
      <w:pPr>
        <w:spacing w:before="240" w:after="160" w:line="256" w:lineRule="auto"/>
        <w:ind w:left="720" w:hanging="720"/>
      </w:pPr>
      <w:r>
        <w:t>Auriga, R., Pirralha, A., Schlücker, F., Lechner, G., &amp; Passmann, A. (2024). The effectiveness of between-wave mailings and tailored material incentives on response rates: Results from a young adolescent longitudinal survey.</w:t>
      </w:r>
      <w:r>
        <w:rPr>
          <w:i/>
          <w:iCs/>
        </w:rPr>
        <w:t xml:space="preserve"> International Journal of Social Research Methodology</w:t>
      </w:r>
      <w:r>
        <w:t>, 28(1), 119-131. https://doi.org/10.1080/13645579.2024.2303031</w:t>
      </w:r>
    </w:p>
    <w:p w14:paraId="50CEFF71" w14:textId="77777777" w:rsidR="00C9315D" w:rsidRDefault="003261EC">
      <w:pPr>
        <w:spacing w:before="240" w:after="240" w:line="256" w:lineRule="auto"/>
        <w:ind w:left="720" w:hanging="720"/>
        <w:rPr>
          <w:color w:val="222222"/>
        </w:rPr>
      </w:pPr>
      <w:r>
        <w:rPr>
          <w:color w:val="222222"/>
        </w:rPr>
        <w:t xml:space="preserve">Banks, J., Muriel, A., &amp; Smith, J. P. (2011). Attrition and health in ageing studies: evidence from ELSA and HRS. </w:t>
      </w:r>
      <w:r>
        <w:rPr>
          <w:i/>
          <w:iCs/>
          <w:color w:val="222222"/>
        </w:rPr>
        <w:t>Longitudinal and life course studies</w:t>
      </w:r>
      <w:r>
        <w:rPr>
          <w:color w:val="222222"/>
        </w:rPr>
        <w:t xml:space="preserve">, </w:t>
      </w:r>
      <w:r>
        <w:rPr>
          <w:i/>
          <w:iCs/>
          <w:color w:val="222222"/>
        </w:rPr>
        <w:t>2</w:t>
      </w:r>
      <w:r>
        <w:rPr>
          <w:color w:val="222222"/>
        </w:rPr>
        <w:t>(2), 10-14301.</w:t>
      </w:r>
    </w:p>
    <w:p w14:paraId="302A6D8A" w14:textId="77777777" w:rsidR="00C9315D" w:rsidRDefault="003261EC">
      <w:pPr>
        <w:spacing w:before="240" w:after="240" w:line="256" w:lineRule="auto"/>
        <w:ind w:left="720" w:hanging="720"/>
        <w:rPr>
          <w:color w:val="222222"/>
        </w:rPr>
      </w:pPr>
      <w:r>
        <w:rPr>
          <w:color w:val="222222"/>
        </w:rPr>
        <w:t xml:space="preserve">Barry, A. E. (2005). How attrition impacts the internal and external validity of longitudinal research. </w:t>
      </w:r>
      <w:r>
        <w:rPr>
          <w:i/>
          <w:iCs/>
          <w:color w:val="222222"/>
        </w:rPr>
        <w:t>Journal of School Health</w:t>
      </w:r>
      <w:r>
        <w:rPr>
          <w:color w:val="222222"/>
        </w:rPr>
        <w:t>, 75(7), 267–270.</w:t>
      </w:r>
    </w:p>
    <w:p w14:paraId="66B918A7" w14:textId="77777777" w:rsidR="00C9315D" w:rsidRDefault="003261EC">
      <w:pPr>
        <w:spacing w:before="240" w:after="240" w:line="256" w:lineRule="auto"/>
        <w:ind w:left="720"/>
        <w:rPr>
          <w:color w:val="222222"/>
        </w:rPr>
      </w:pPr>
      <w:r>
        <w:rPr>
          <w:color w:val="222222"/>
        </w:rPr>
        <w:t xml:space="preserve">Becker, R. (2023). The researcher, the incentive, the panelists and their response: the role of strong reciprocity for the panelists’ survey participation. </w:t>
      </w:r>
      <w:r>
        <w:rPr>
          <w:i/>
          <w:iCs/>
          <w:color w:val="222222"/>
        </w:rPr>
        <w:t>Survey Research Methods</w:t>
      </w:r>
      <w:r>
        <w:rPr>
          <w:color w:val="222222"/>
        </w:rPr>
        <w:t>, 17(3), 223–242. https://doi.org/10.18148/srm/2023.v17i3.7975.</w:t>
      </w:r>
    </w:p>
    <w:p w14:paraId="65F3B07B" w14:textId="77777777" w:rsidR="00C9315D" w:rsidRDefault="003261EC">
      <w:pPr>
        <w:spacing w:before="240" w:after="240" w:line="256" w:lineRule="auto"/>
        <w:ind w:left="720" w:hanging="720"/>
        <w:rPr>
          <w:color w:val="222222"/>
        </w:rPr>
      </w:pPr>
      <w:r>
        <w:rPr>
          <w:color w:val="222222"/>
        </w:rPr>
        <w:t xml:space="preserve">Beller, J., Geyer, S., &amp; Epping, J. (2022). Health and study dropout: health aspects differentially predict attrition. </w:t>
      </w:r>
      <w:r>
        <w:rPr>
          <w:i/>
          <w:iCs/>
          <w:color w:val="222222"/>
        </w:rPr>
        <w:t>BMC Medical Research Methodology</w:t>
      </w:r>
      <w:r>
        <w:rPr>
          <w:color w:val="222222"/>
        </w:rPr>
        <w:t xml:space="preserve">, </w:t>
      </w:r>
      <w:r>
        <w:rPr>
          <w:i/>
          <w:iCs/>
          <w:color w:val="222222"/>
        </w:rPr>
        <w:t>22</w:t>
      </w:r>
      <w:r>
        <w:rPr>
          <w:color w:val="222222"/>
        </w:rPr>
        <w:t>(31).</w:t>
      </w:r>
    </w:p>
    <w:p w14:paraId="50C65B83" w14:textId="77777777" w:rsidR="00C9315D" w:rsidRDefault="003261EC">
      <w:pPr>
        <w:spacing w:before="240" w:after="160" w:line="256" w:lineRule="auto"/>
        <w:ind w:left="720" w:hanging="720"/>
      </w:pPr>
      <w:r>
        <w:t xml:space="preserve">Bennett, L., &amp; Nair, C. S. (2008). Survey fatigue - Myth or reality? In: A. Stella (ed.), </w:t>
      </w:r>
      <w:r>
        <w:rPr>
          <w:i/>
          <w:iCs/>
        </w:rPr>
        <w:t>Proceedings of AUQF2008: Quality &amp; standards in higher education: Making a difference</w:t>
      </w:r>
      <w:r>
        <w:t xml:space="preserve"> (pp. 9-18). Australian Universities Quality Agency. https://doi.org/10.1.1.140.5759</w:t>
      </w:r>
    </w:p>
    <w:p w14:paraId="64B1A1F4" w14:textId="77777777" w:rsidR="00C9315D" w:rsidRDefault="003261EC">
      <w:pPr>
        <w:spacing w:before="240" w:after="160" w:line="256" w:lineRule="auto"/>
        <w:ind w:left="720" w:hanging="720"/>
      </w:pPr>
      <w:r>
        <w:t xml:space="preserve">Bergman, L. R., &amp; Brage, R. (2008). Survey Experience and Later Survey Attitudes, Intention, and Behavior. </w:t>
      </w:r>
      <w:r>
        <w:rPr>
          <w:i/>
          <w:iCs/>
        </w:rPr>
        <w:t xml:space="preserve">Journal of Official Statistics </w:t>
      </w:r>
      <w:r>
        <w:t>24 (1): 99–31.</w:t>
      </w:r>
    </w:p>
    <w:p w14:paraId="0D9F0707" w14:textId="77777777" w:rsidR="00C9315D" w:rsidRDefault="003261EC">
      <w:pPr>
        <w:spacing w:before="240" w:after="160" w:line="256" w:lineRule="auto"/>
        <w:ind w:left="720" w:hanging="720"/>
      </w:pPr>
      <w:r>
        <w:t>Bergmann, M., Quezada, M., &amp; Smolić, Š. (2024). Effects of interviewer continuity on data quality in a panel survey of older respondents. Panel Survey Methods Workshop 2024 (PSMW), Utrecht.</w:t>
      </w:r>
      <w:hyperlink r:id="rId7">
        <w:r>
          <w:t xml:space="preserve"> </w:t>
        </w:r>
      </w:hyperlink>
      <w:hyperlink r:id="rId8">
        <w:r>
          <w:rPr>
            <w:color w:val="1155CC"/>
            <w:u w:val="single"/>
          </w:rPr>
          <w:t>https://doi.org/10.5281/zenodo.14039053</w:t>
        </w:r>
      </w:hyperlink>
      <w:r>
        <w:t xml:space="preserve"> </w:t>
      </w:r>
    </w:p>
    <w:p w14:paraId="28DD54E9" w14:textId="77777777" w:rsidR="00C9315D" w:rsidRDefault="003261EC">
      <w:pPr>
        <w:spacing w:before="240" w:after="160" w:line="256" w:lineRule="auto"/>
        <w:ind w:left="720" w:hanging="720"/>
      </w:pPr>
      <w:r>
        <w:t>Bergmann, M., &amp; Scherpenzeel, A. (2016). Can a responsive fieldwork design increase response rates and decrease response bias in the Survey of Health, Ageing and Retirement in Europe (SHARE)? SHARE Working Paper Series 27-2016. Munich: SHARE-ERIC.</w:t>
      </w:r>
    </w:p>
    <w:p w14:paraId="4E0F3F6B" w14:textId="77777777" w:rsidR="00C9315D" w:rsidRDefault="003261EC">
      <w:pPr>
        <w:spacing w:before="240" w:after="160" w:line="256" w:lineRule="auto"/>
        <w:ind w:left="720" w:hanging="720"/>
      </w:pPr>
      <w:r>
        <w:lastRenderedPageBreak/>
        <w:t xml:space="preserve">Bergmann, M. &amp; Scherpenzeel, A. (2020). Using field monitoring strategies to improve panel sample representativeness: Application during data collection in the Survey of Health, Ageing and Retirement in Europe (SHARE). </w:t>
      </w:r>
      <w:r>
        <w:rPr>
          <w:i/>
          <w:iCs/>
        </w:rPr>
        <w:t>Survey Methods: Insights from the Field, Special issue: ‘Fieldword Monitoring Strategies for Interviewer-Administered Surveys’.</w:t>
      </w:r>
      <w:r>
        <w:t xml:space="preserve"> </w:t>
      </w:r>
      <w:hyperlink r:id="rId9">
        <w:r>
          <w:rPr>
            <w:color w:val="1155CC"/>
            <w:u w:val="single"/>
          </w:rPr>
          <w:t>https://surveyinsights.org/?p=12720</w:t>
        </w:r>
      </w:hyperlink>
      <w:r>
        <w:t xml:space="preserve"> </w:t>
      </w:r>
    </w:p>
    <w:p w14:paraId="3A00BE5E" w14:textId="77777777" w:rsidR="00C9315D" w:rsidRDefault="003261EC">
      <w:pPr>
        <w:spacing w:before="240" w:after="160" w:line="256" w:lineRule="auto"/>
        <w:ind w:left="720"/>
      </w:pPr>
      <w:r>
        <w:t xml:space="preserve">Beste, J., Frodermann, C., Trappmann, M., &amp; Unger, S. (2023). Case prioritization in a panel survey based on predicting hard to survey households by machine learning algorithms: an experimental study. </w:t>
      </w:r>
      <w:r>
        <w:rPr>
          <w:i/>
          <w:iCs/>
        </w:rPr>
        <w:t>Survey Research Methods</w:t>
      </w:r>
      <w:r>
        <w:t>, 17(3), 243–268. https://doi.org/10.18148/srm/2023.v17i3.7988.</w:t>
      </w:r>
    </w:p>
    <w:p w14:paraId="4993F576" w14:textId="77777777" w:rsidR="00C9315D" w:rsidRDefault="003261EC">
      <w:pPr>
        <w:spacing w:before="240" w:after="160" w:line="256" w:lineRule="auto"/>
        <w:ind w:left="720" w:hanging="720"/>
      </w:pPr>
      <w:r>
        <w:t xml:space="preserve">Bianchi, A., &amp; Biffignandi, S. (2019). Survey experiments on interactions and nonresponse: A case study of incentives and modes. In: P. Lavrakas, M. Traugott, C. Kennedy, A. Holbrook, E. D. Leeuw, &amp; B. West (eds.), </w:t>
      </w:r>
      <w:r>
        <w:rPr>
          <w:i/>
          <w:iCs/>
        </w:rPr>
        <w:t>Experimental methods in survey research</w:t>
      </w:r>
      <w:r>
        <w:t xml:space="preserve"> (pp. 69–88). Wiley. https://doi.org/10.1002/9781119083771.ch4</w:t>
      </w:r>
    </w:p>
    <w:p w14:paraId="4C3C9D7D" w14:textId="77777777" w:rsidR="00C9315D" w:rsidRDefault="003261EC">
      <w:pPr>
        <w:spacing w:before="240" w:after="160" w:line="256" w:lineRule="auto"/>
        <w:ind w:left="720" w:hanging="720"/>
      </w:pPr>
      <w:r>
        <w:t xml:space="preserve">Biemer, P. P., Mullan Harris, K., Burke, B. J., Liao, D., &amp; Tucker Halpern, C. (2022). Transitioning a Panel Survey from in-person to Predominantly Web Data Collection: Results and Lessons Learned. </w:t>
      </w:r>
      <w:r>
        <w:rPr>
          <w:i/>
          <w:iCs/>
        </w:rPr>
        <w:t>Journal of the Royal Statistical Society Series A: Statistics in Society</w:t>
      </w:r>
      <w:r>
        <w:t>, 185(3). https://doi.org/10.1111/rssa.12750</w:t>
      </w:r>
    </w:p>
    <w:p w14:paraId="4C729449" w14:textId="77777777" w:rsidR="00C9315D" w:rsidRDefault="003261EC">
      <w:pPr>
        <w:spacing w:before="240" w:after="160" w:line="256" w:lineRule="auto"/>
        <w:ind w:left="720" w:hanging="720"/>
      </w:pPr>
      <w:r>
        <w:t xml:space="preserve">Bilgen, I., Dutwin, D., Singh, R., &amp; Hendarwan, E. (2024). Peekaboo! The Effect of Different Visible Cash Display and Amount Options During Mail Contact When Recruiting to a Probability-Based Panel. </w:t>
      </w:r>
      <w:r>
        <w:rPr>
          <w:i/>
          <w:iCs/>
        </w:rPr>
        <w:t>Journal of Survey Statistics and Methodology</w:t>
      </w:r>
      <w:r>
        <w:t>, 12(4), 872–892. https://doi.org/10.1093/jssam/smad039</w:t>
      </w:r>
    </w:p>
    <w:p w14:paraId="62AF801F" w14:textId="77777777" w:rsidR="00C9315D" w:rsidRDefault="003261EC">
      <w:pPr>
        <w:spacing w:before="240" w:after="160" w:line="256" w:lineRule="auto"/>
        <w:ind w:left="720" w:hanging="720"/>
      </w:pPr>
      <w:r>
        <w:t xml:space="preserve">Biner, P. M., &amp; Kidd, H. J. (1994). The interactive effects of monetary incentive justification and questionnaire length on mail survey response rates. </w:t>
      </w:r>
      <w:r>
        <w:rPr>
          <w:i/>
          <w:iCs/>
        </w:rPr>
        <w:t>Psychology &amp; Marketing</w:t>
      </w:r>
      <w:r>
        <w:t xml:space="preserve">, 11(5), 483-492. </w:t>
      </w:r>
    </w:p>
    <w:p w14:paraId="01D309AB" w14:textId="77777777" w:rsidR="00C9315D" w:rsidRDefault="003261EC">
      <w:pPr>
        <w:spacing w:before="240" w:after="160" w:line="256" w:lineRule="auto"/>
        <w:ind w:left="720" w:hanging="720"/>
      </w:pPr>
      <w:r>
        <w:t xml:space="preserve">Blohm, M., &amp; Koch, A. (2021). Monetary Incentives in Large-Scale Face-to-Face Surveys: Evidence from a Series of Experiments, </w:t>
      </w:r>
      <w:r>
        <w:rPr>
          <w:i/>
          <w:iCs/>
        </w:rPr>
        <w:t>International Journal of Public Opinion Research</w:t>
      </w:r>
      <w:r>
        <w:t>, 33(3), 690–702, https://doi.org/10.1093/ijpor/edab007</w:t>
      </w:r>
    </w:p>
    <w:p w14:paraId="1826A7E3" w14:textId="77777777" w:rsidR="00C9315D" w:rsidRDefault="003261EC">
      <w:pPr>
        <w:spacing w:before="240" w:after="160" w:line="256" w:lineRule="auto"/>
        <w:ind w:left="720" w:hanging="720"/>
      </w:pPr>
      <w:r>
        <w:t xml:space="preserve">Booker, C. L., Harding, S., &amp; Benzeval, M. (2011). A systematic review of the effect of retention methods in population-based cohort studies. </w:t>
      </w:r>
      <w:r>
        <w:rPr>
          <w:i/>
          <w:iCs/>
        </w:rPr>
        <w:t>BMC Public Health</w:t>
      </w:r>
      <w:r>
        <w:t>, 11, 249.</w:t>
      </w:r>
    </w:p>
    <w:p w14:paraId="1E035CE0" w14:textId="77777777" w:rsidR="00C9315D" w:rsidRDefault="003261EC">
      <w:pPr>
        <w:spacing w:before="240" w:after="160" w:line="256" w:lineRule="auto"/>
        <w:ind w:left="720" w:hanging="720"/>
      </w:pPr>
      <w:r>
        <w:t xml:space="preserve">Booth, C., Wong, E., Brown, M., &amp; Fitzsimons, E. (2024). Evaluating the Effect of Monetary Incentives on Web Survey Response Rates in the UK Millennium Cohort Study. </w:t>
      </w:r>
      <w:r>
        <w:rPr>
          <w:i/>
          <w:iCs/>
        </w:rPr>
        <w:t>Survey Research Methods</w:t>
      </w:r>
      <w:r>
        <w:t>, 18(1), 47–58. https://doi.org/10.18148/srm/2024.v18i1.8210</w:t>
      </w:r>
    </w:p>
    <w:p w14:paraId="020ECAB5" w14:textId="77777777" w:rsidR="00C9315D" w:rsidRDefault="003261EC">
      <w:pPr>
        <w:spacing w:before="240" w:after="160" w:line="256" w:lineRule="auto"/>
        <w:ind w:left="720" w:hanging="720"/>
      </w:pPr>
      <w:r>
        <w:t>Branden, L., Gritz, R. M., &amp; Pergamit, M. R. (1995). The effect of interview length on attrition in the National Longitudinal Survey of Youth. National Longitudinal Surveys Discussion Paper. NLS-95-28. U.S. Bureau of Labor Statistics.</w:t>
      </w:r>
    </w:p>
    <w:p w14:paraId="0C832041" w14:textId="77777777" w:rsidR="00C9315D" w:rsidRDefault="003261EC">
      <w:pPr>
        <w:spacing w:before="240" w:after="160" w:line="256" w:lineRule="auto"/>
        <w:ind w:left="720" w:hanging="720"/>
      </w:pPr>
      <w:r>
        <w:t xml:space="preserve">Brick, M. J. (2013). Unit Nonresponse and Weighting Adjustments: A Critical Review. </w:t>
      </w:r>
      <w:r>
        <w:rPr>
          <w:i/>
          <w:iCs/>
        </w:rPr>
        <w:t>Journal of Official Statistics</w:t>
      </w:r>
      <w:r>
        <w:t>, 29(3), 329-353.</w:t>
      </w:r>
    </w:p>
    <w:p w14:paraId="1D790E52" w14:textId="77777777" w:rsidR="00C9315D" w:rsidRDefault="003261EC">
      <w:pPr>
        <w:spacing w:before="240" w:after="160" w:line="256" w:lineRule="auto"/>
        <w:ind w:left="720" w:hanging="720"/>
      </w:pPr>
      <w:r>
        <w:lastRenderedPageBreak/>
        <w:t>Brick, J. M., &amp; Williams, D. (2013). Explaining Rising Nonresponse Rates in Cross-Sectional Surveys.</w:t>
      </w:r>
      <w:r>
        <w:rPr>
          <w:i/>
          <w:iCs/>
        </w:rPr>
        <w:t xml:space="preserve"> The ANNALS of the American Academy of Political and Social Science</w:t>
      </w:r>
      <w:r>
        <w:t xml:space="preserve">, 645(1), 36-59. https://doi.org/10.1177/0002716212456834 </w:t>
      </w:r>
    </w:p>
    <w:p w14:paraId="48272CCE" w14:textId="77777777" w:rsidR="00C9315D" w:rsidRDefault="003261EC">
      <w:pPr>
        <w:spacing w:before="240" w:after="160" w:line="256" w:lineRule="auto"/>
        <w:ind w:left="720" w:hanging="720"/>
      </w:pPr>
      <w:r>
        <w:t xml:space="preserve">Brick, J. M., &amp; Tourangeau, R. (2017). Responsive Survey Designs for Reducing Nonresponse Bias. </w:t>
      </w:r>
      <w:r>
        <w:rPr>
          <w:i/>
          <w:iCs/>
        </w:rPr>
        <w:t>Journal of Official Statistics</w:t>
      </w:r>
      <w:r>
        <w:t xml:space="preserve">, 33(3), 735-752. https://www.degruyter.com/view/j/jos.2017.33.issue-3/jos-2017-0034/jos-2017-0034.xml </w:t>
      </w:r>
    </w:p>
    <w:p w14:paraId="21EEC14D" w14:textId="77777777" w:rsidR="00C9315D" w:rsidRDefault="003261EC">
      <w:pPr>
        <w:spacing w:before="240" w:after="160" w:line="256" w:lineRule="auto"/>
        <w:ind w:left="720" w:hanging="720"/>
      </w:pPr>
      <w:r>
        <w:t>Brown, M., &amp; Calderwood, L. (2020). Mixing modes in longitudinal surveys: an overview. CLS Working Paper 2020/3. London: UCL Centre for Longitudinal Studies. Accessed at https://www.ukri.org/wp-content/uploads/2022/03/ESRC-220311-MixingModesInLongitudinalStudies-190705.pdf</w:t>
      </w:r>
    </w:p>
    <w:p w14:paraId="5F7A7CB0" w14:textId="77777777" w:rsidR="00C9315D" w:rsidRDefault="003261EC">
      <w:pPr>
        <w:spacing w:before="240" w:after="160" w:line="256" w:lineRule="auto"/>
        <w:ind w:left="720" w:hanging="720"/>
      </w:pPr>
      <w:r>
        <w:t xml:space="preserve">Burchell, B., &amp; Marsh, C. (1992). The effect of questionnaire length on survey response. </w:t>
      </w:r>
      <w:r>
        <w:rPr>
          <w:i/>
          <w:iCs/>
        </w:rPr>
        <w:t>Quality and Quantity,</w:t>
      </w:r>
      <w:r>
        <w:t xml:space="preserve"> 26(3), 233-244. http://dx.doi.org/10.1007/BF00172427 </w:t>
      </w:r>
    </w:p>
    <w:p w14:paraId="790E6458" w14:textId="77777777" w:rsidR="00C9315D" w:rsidRDefault="003261EC">
      <w:pPr>
        <w:spacing w:before="240" w:after="160" w:line="256" w:lineRule="auto"/>
        <w:ind w:left="720" w:hanging="720"/>
      </w:pPr>
      <w:r>
        <w:t xml:space="preserve">Burkhart, Q., Orr, N., Brown, J. A., Hays, R. D., Cleary, P. D., Beckett, M. K., Perry, S. E., Gaillot, S., &amp; Elliott, M. N. (2019). Associations of Mail Survey Length and Layout With Response Rates [https://doi.org/10.1177/1077558719888407]. </w:t>
      </w:r>
      <w:r>
        <w:rPr>
          <w:i/>
          <w:iCs/>
        </w:rPr>
        <w:t>Medical Care Research and Review</w:t>
      </w:r>
      <w:r>
        <w:t xml:space="preserve">, 78(4), 441-448. http://dx.doi.org/10.1177/1077558719888407 </w:t>
      </w:r>
    </w:p>
    <w:p w14:paraId="382C8033" w14:textId="77777777" w:rsidR="00C9315D" w:rsidRDefault="003261EC">
      <w:pPr>
        <w:spacing w:before="240" w:after="160" w:line="256" w:lineRule="auto"/>
        <w:ind w:left="720" w:hanging="720"/>
      </w:pPr>
      <w:r>
        <w:t>Burton, J., Auspurg, K., Burton, J., Cullinane, C., Delavande, A., Fumagelli, L., Iacovou, M., Jäckle, A., Kaminska, O., Lynn, P., Mathews, P., Nicolaas, G., Nicoletti, C., Ye, C., &amp; Zafar, B. (2013). Understanding Society Innovation Panel Wave 5: Results from methodological experiments. Understanding Society Working Paper Series, 2013(6), 1–42.</w:t>
      </w:r>
    </w:p>
    <w:p w14:paraId="1E3F04AA" w14:textId="77777777" w:rsidR="00C9315D" w:rsidRDefault="003261EC">
      <w:pPr>
        <w:spacing w:before="240" w:after="160" w:line="256" w:lineRule="auto"/>
        <w:ind w:left="720" w:hanging="720"/>
      </w:pPr>
      <w:r>
        <w:t xml:space="preserve">Burton, J., Laurie, H., &amp; Lynn, P. (2006). The long-term effectiveness of refusal conversion procedures on longitudinal surveys. </w:t>
      </w:r>
      <w:r>
        <w:rPr>
          <w:i/>
          <w:iCs/>
        </w:rPr>
        <w:t>Journal of the Royal Statistical Society Series A: Statistics in Society</w:t>
      </w:r>
      <w:r>
        <w:t>, 169(3):459-478. https://doi.org/10.1111/j.1467-985X.2006.00415.x</w:t>
      </w:r>
    </w:p>
    <w:p w14:paraId="72A2A2F4" w14:textId="77777777" w:rsidR="00C9315D" w:rsidRDefault="003261EC">
      <w:pPr>
        <w:spacing w:before="240" w:after="160" w:line="256" w:lineRule="auto"/>
        <w:ind w:left="720" w:hanging="720"/>
      </w:pPr>
      <w:r>
        <w:t xml:space="preserve">Cabrera-Álvarez, P., &amp; Lynn, P. (2024). Text Messages to Facilitate the Transition to Web-First Sequential Mixed-Mode Designs in Longitudinal Surveys, </w:t>
      </w:r>
      <w:r>
        <w:rPr>
          <w:i/>
          <w:iCs/>
        </w:rPr>
        <w:t>Journal of Survey Statistics and Methodology</w:t>
      </w:r>
      <w:r>
        <w:t>, 12(3), 651–673. https://doi.org/10.1093/jssam/smae003</w:t>
      </w:r>
    </w:p>
    <w:p w14:paraId="6452697E" w14:textId="77777777" w:rsidR="00C9315D" w:rsidRDefault="003261EC">
      <w:pPr>
        <w:spacing w:before="240" w:after="160" w:line="256" w:lineRule="auto"/>
        <w:ind w:left="720" w:hanging="720"/>
      </w:pPr>
      <w:r>
        <w:t xml:space="preserve">Cabrera-Álvarez, P., &amp; Lynn, P. (2025a). Benefits of increasing the value of respondent incentives during the course of a longitudinal mixed-mode survey, </w:t>
      </w:r>
      <w:r>
        <w:rPr>
          <w:i/>
          <w:iCs/>
        </w:rPr>
        <w:t>International Journal of Social Research Methodology</w:t>
      </w:r>
      <w:r>
        <w:t>, 28(5), 587-599. https://doi.org/10.1080/13645579.2024.2443630</w:t>
      </w:r>
    </w:p>
    <w:p w14:paraId="48A5F48B" w14:textId="77777777" w:rsidR="00C9315D" w:rsidRDefault="003261EC">
      <w:pPr>
        <w:spacing w:before="240" w:after="160" w:line="256" w:lineRule="auto"/>
        <w:ind w:left="720" w:hanging="720"/>
      </w:pPr>
      <w:r>
        <w:t xml:space="preserve">Cabrera Álvarez, P., &amp; Lynn, P. (2025b). An Increase Matters, Not the Actual Value: Early Bird Incentives in Longitudinal Surveys. </w:t>
      </w:r>
      <w:r>
        <w:rPr>
          <w:i/>
          <w:iCs/>
        </w:rPr>
        <w:t>Survey Research Methods</w:t>
      </w:r>
      <w:r>
        <w:t>, 19(1), 13–24. https://doi.org/10.18148/srm/2025.v19i1.8478</w:t>
      </w:r>
    </w:p>
    <w:p w14:paraId="21A3564F" w14:textId="77777777" w:rsidR="00C9315D" w:rsidRDefault="003261EC">
      <w:pPr>
        <w:spacing w:before="240" w:after="240" w:line="256" w:lineRule="auto"/>
        <w:ind w:left="720" w:hanging="720"/>
        <w:rPr>
          <w:color w:val="222222"/>
        </w:rPr>
      </w:pPr>
      <w:r>
        <w:rPr>
          <w:color w:val="222222"/>
        </w:rPr>
        <w:t xml:space="preserve">Cacioppo, J. T., &amp; Cacioppo, S. (2018). The population-based longitudinal Chicago Health, Aging, and Social Relations Study (CHASRS): Study description and predictors of attrition in older adults. </w:t>
      </w:r>
      <w:r>
        <w:rPr>
          <w:i/>
          <w:iCs/>
          <w:color w:val="222222"/>
        </w:rPr>
        <w:t>Archives of scientific psychology</w:t>
      </w:r>
      <w:r>
        <w:rPr>
          <w:color w:val="222222"/>
        </w:rPr>
        <w:t xml:space="preserve">, </w:t>
      </w:r>
      <w:r>
        <w:rPr>
          <w:i/>
          <w:iCs/>
          <w:color w:val="222222"/>
        </w:rPr>
        <w:t>6</w:t>
      </w:r>
      <w:r>
        <w:rPr>
          <w:color w:val="222222"/>
        </w:rPr>
        <w:t xml:space="preserve">(1), 21. </w:t>
      </w:r>
    </w:p>
    <w:p w14:paraId="1232D810" w14:textId="77777777" w:rsidR="00C9315D" w:rsidRDefault="003261EC">
      <w:pPr>
        <w:spacing w:before="240" w:after="240" w:line="256" w:lineRule="auto"/>
        <w:ind w:left="720" w:hanging="720"/>
      </w:pPr>
      <w:r>
        <w:lastRenderedPageBreak/>
        <w:t xml:space="preserve">Calderwood, L. 2012. Tracking Sample Members in Longitudinal Studies. </w:t>
      </w:r>
      <w:r>
        <w:rPr>
          <w:i/>
          <w:iCs/>
        </w:rPr>
        <w:t>Survey Practice Vol 5,</w:t>
      </w:r>
      <w:r>
        <w:t xml:space="preserve"> </w:t>
      </w:r>
      <w:r>
        <w:rPr>
          <w:i/>
          <w:iCs/>
        </w:rPr>
        <w:t>Issue 4, 2012</w:t>
      </w:r>
      <w:r>
        <w:t>. https://doi.org/10.29115/SP-2012-0024</w:t>
      </w:r>
    </w:p>
    <w:p w14:paraId="43979C9A" w14:textId="77777777" w:rsidR="00C9315D" w:rsidRDefault="003261EC">
      <w:pPr>
        <w:spacing w:before="240" w:after="160" w:line="256" w:lineRule="auto"/>
        <w:ind w:left="720" w:hanging="720"/>
      </w:pPr>
      <w:r>
        <w:t xml:space="preserve">Calderwood, L. (2013). The use of new technologies on the British birth cohort studies. </w:t>
      </w:r>
      <w:r>
        <w:rPr>
          <w:i/>
          <w:iCs/>
        </w:rPr>
        <w:t>International Journal of Market Research</w:t>
      </w:r>
      <w:r>
        <w:t>, 55(4), 590-594. https://doi.org/10.2501/IJMR-2013-050</w:t>
      </w:r>
    </w:p>
    <w:p w14:paraId="2A5FA207" w14:textId="77777777" w:rsidR="00C9315D" w:rsidRDefault="003261EC">
      <w:pPr>
        <w:spacing w:before="240" w:after="160" w:line="256" w:lineRule="auto"/>
        <w:ind w:left="720" w:hanging="720"/>
      </w:pPr>
      <w:r>
        <w:t xml:space="preserve">Calderwood, L. (2014). Improving between-wave mailings on longitudinal surveys: A randomised experiment on the UK Millennium Cohort Study. </w:t>
      </w:r>
      <w:r>
        <w:rPr>
          <w:i/>
          <w:iCs/>
        </w:rPr>
        <w:t>Survey Research Methods</w:t>
      </w:r>
      <w:r>
        <w:t xml:space="preserve">, 8(2), 99-108. </w:t>
      </w:r>
      <w:hyperlink r:id="rId10">
        <w:r>
          <w:rPr>
            <w:color w:val="1155CC"/>
            <w:u w:val="single"/>
          </w:rPr>
          <w:t>https://doi.org/10.18148/srm/2014.v8i2.5391</w:t>
        </w:r>
      </w:hyperlink>
    </w:p>
    <w:p w14:paraId="31D7B777" w14:textId="77777777" w:rsidR="00C9315D" w:rsidRDefault="003261EC">
      <w:pPr>
        <w:spacing w:after="160" w:line="256" w:lineRule="auto"/>
        <w:ind w:left="720" w:hanging="720"/>
        <w:rPr>
          <w:sz w:val="24"/>
          <w:szCs w:val="24"/>
        </w:rPr>
      </w:pPr>
      <w:r>
        <w:t xml:space="preserve">Campanelli, P., &amp; O’Muircheartaigh, C. (1999). Interviewers, Interviewer Continuity, and Panel Survey Nonresponse. </w:t>
      </w:r>
      <w:r>
        <w:rPr>
          <w:i/>
          <w:iCs/>
        </w:rPr>
        <w:t>Quality and Quantity</w:t>
      </w:r>
      <w:r>
        <w:t xml:space="preserve">, </w:t>
      </w:r>
      <w:r>
        <w:rPr>
          <w:i/>
          <w:iCs/>
        </w:rPr>
        <w:t>33</w:t>
      </w:r>
      <w:r>
        <w:t>(1), 59–76. https://doi.org/10.1023/A:1004357711258</w:t>
      </w:r>
    </w:p>
    <w:p w14:paraId="3BA630AA" w14:textId="77777777" w:rsidR="00C9315D" w:rsidRDefault="003261EC">
      <w:pPr>
        <w:spacing w:before="240" w:after="160" w:line="256" w:lineRule="auto"/>
        <w:ind w:left="720" w:hanging="720"/>
      </w:pPr>
      <w:r>
        <w:t xml:space="preserve">Carley-Baxter, L. (2008). Respondent-interviewer rapport. </w:t>
      </w:r>
      <w:r>
        <w:rPr>
          <w:i/>
          <w:iCs/>
        </w:rPr>
        <w:t>Encyclopedia of Survey Research Methods</w:t>
      </w:r>
      <w:r>
        <w:t>, pp. 744. Sage Publications, Inc. https://doi.org/10.4135/9781412963947.n481</w:t>
      </w:r>
    </w:p>
    <w:p w14:paraId="71A5BAD4" w14:textId="77777777" w:rsidR="00C9315D" w:rsidRDefault="003261EC">
      <w:pPr>
        <w:spacing w:before="240" w:after="160" w:line="256" w:lineRule="auto"/>
        <w:ind w:left="720" w:hanging="720"/>
      </w:pPr>
      <w:r>
        <w:t xml:space="preserve">Castiglioni, L., Pforr, K., &amp; Krieger, U. (2008). The effect of incentives on response rates and panel attrition: results of a controlled experiment. </w:t>
      </w:r>
      <w:r>
        <w:rPr>
          <w:i/>
          <w:iCs/>
        </w:rPr>
        <w:t>Survey Research Methods</w:t>
      </w:r>
      <w:r>
        <w:t>, 2(3), 151–158.</w:t>
      </w:r>
    </w:p>
    <w:p w14:paraId="7DFD4562" w14:textId="77777777" w:rsidR="00C9315D" w:rsidRDefault="003261EC">
      <w:pPr>
        <w:spacing w:before="240" w:after="160" w:line="256" w:lineRule="auto"/>
        <w:ind w:left="720" w:hanging="720"/>
      </w:pPr>
      <w:r>
        <w:t xml:space="preserve">Cernat, A., &amp; Lynn, P. (2017). The Role of E-mail Communications in Determining Response Rates and Mode of Participation in a Mixed-mode Design. </w:t>
      </w:r>
      <w:r>
        <w:rPr>
          <w:i/>
          <w:iCs/>
        </w:rPr>
        <w:t>Field Methods</w:t>
      </w:r>
      <w:r>
        <w:t>, 30(1), 70-87. https://doi.org/10.1177/1525822X17726205</w:t>
      </w:r>
    </w:p>
    <w:p w14:paraId="785BAFDE" w14:textId="77777777" w:rsidR="00C9315D" w:rsidRDefault="003261EC">
      <w:pPr>
        <w:spacing w:before="240" w:after="160" w:line="256" w:lineRule="auto"/>
        <w:ind w:left="720" w:hanging="720"/>
      </w:pPr>
      <w:r>
        <w:t>Chatfield, M. D., Brayne, C. E., &amp; Matthews, F. E. (2005). A systematic literature review of attrition between waves in longitudinal studies in the elderly shows a consistent pattern of dropout between differing studies. Journal of Clinical Epidemiology, 58(1), 13-19. https://doi.org/10.1016/j.jclinepi.2004.05.006</w:t>
      </w:r>
    </w:p>
    <w:p w14:paraId="7076CDCF" w14:textId="77777777" w:rsidR="00C9315D" w:rsidRDefault="003261EC">
      <w:pPr>
        <w:spacing w:before="240" w:after="160" w:line="256" w:lineRule="auto"/>
        <w:ind w:left="720" w:hanging="720"/>
      </w:pPr>
      <w:r>
        <w:t xml:space="preserve">Church, A. H. (1993). Estimating the effect of incentives on mail survey response rates: A meta-analysis. </w:t>
      </w:r>
      <w:r>
        <w:rPr>
          <w:i/>
          <w:iCs/>
        </w:rPr>
        <w:t>Public Opinion Quarterly</w:t>
      </w:r>
      <w:r>
        <w:t>, 57(1), 62–79. https://doi.org/10.1086/269355</w:t>
      </w:r>
    </w:p>
    <w:p w14:paraId="18C26946" w14:textId="77777777" w:rsidR="00C9315D" w:rsidRDefault="003261EC">
      <w:pPr>
        <w:spacing w:before="240" w:after="160" w:line="256" w:lineRule="auto"/>
        <w:ind w:left="720" w:hanging="720"/>
      </w:pPr>
      <w:r>
        <w:t xml:space="preserve">Cleary, A., &amp; Balmer, N. (2015). The Impact of between-wave engagement strategies on response to a longitudinal survey. </w:t>
      </w:r>
      <w:r>
        <w:rPr>
          <w:i/>
          <w:iCs/>
        </w:rPr>
        <w:t>International Journal of Market Research</w:t>
      </w:r>
      <w:r>
        <w:t>, 57(4), 533-554. https://doi.org/10.2501/IJMR-2015-046</w:t>
      </w:r>
    </w:p>
    <w:p w14:paraId="754D6BA2" w14:textId="77777777" w:rsidR="00C9315D" w:rsidRDefault="003261EC">
      <w:pPr>
        <w:spacing w:before="240" w:after="160" w:line="256" w:lineRule="auto"/>
        <w:ind w:left="720" w:hanging="720"/>
        <w:rPr>
          <w:i/>
          <w:iCs/>
        </w:rPr>
      </w:pPr>
      <w:r>
        <w:t xml:space="preserve">Cobb, Curtiss (2018). Proxy Reporting. In: D.L. Vannette and J.A. Krosnick (eds). </w:t>
      </w:r>
      <w:r>
        <w:rPr>
          <w:i/>
          <w:iCs/>
        </w:rPr>
        <w:t>The Palgrave Handbook of Survey Research.</w:t>
      </w:r>
    </w:p>
    <w:p w14:paraId="36271173" w14:textId="77777777" w:rsidR="00C9315D" w:rsidRDefault="003261EC">
      <w:pPr>
        <w:spacing w:before="240" w:after="160" w:line="256" w:lineRule="auto"/>
        <w:ind w:left="720" w:hanging="720"/>
      </w:pPr>
      <w:r>
        <w:t xml:space="preserve">Colicchia, M., Czaplewski, M., &amp; Jaszczak, A. (2012). Refusal Conversion Incentives and Participation in a Longitudinal Study of Older Adults. </w:t>
      </w:r>
      <w:r>
        <w:rPr>
          <w:i/>
          <w:iCs/>
        </w:rPr>
        <w:t>Survey Practice</w:t>
      </w:r>
      <w:r>
        <w:t>, 5(3).</w:t>
      </w:r>
    </w:p>
    <w:p w14:paraId="13D53C53" w14:textId="77777777" w:rsidR="00C9315D" w:rsidRDefault="003261EC">
      <w:pPr>
        <w:spacing w:before="240" w:after="160" w:line="256" w:lineRule="auto"/>
        <w:ind w:left="720" w:hanging="720"/>
      </w:pPr>
      <w:r>
        <w:t xml:space="preserve">Collins, J., &amp; Kern, C. (2025). Pre-trained nonresponse prediction in panel surveys with machine learning. </w:t>
      </w:r>
      <w:r>
        <w:rPr>
          <w:i/>
          <w:iCs/>
        </w:rPr>
        <w:t>Survey Research Methods</w:t>
      </w:r>
      <w:r>
        <w:t>, 19(2).</w:t>
      </w:r>
    </w:p>
    <w:p w14:paraId="767803EE" w14:textId="77777777" w:rsidR="00C9315D" w:rsidRDefault="003261EC">
      <w:pPr>
        <w:spacing w:before="240" w:after="160" w:line="256" w:lineRule="auto"/>
        <w:ind w:left="720" w:hanging="720"/>
      </w:pPr>
      <w:r>
        <w:lastRenderedPageBreak/>
        <w:t xml:space="preserve">Cook, J. V., Dickinson, H. O., &amp; Eccles, M. P. Response rates in postal surveys of healthcare professionals between 1996 and 2005: An observational study. </w:t>
      </w:r>
      <w:r>
        <w:rPr>
          <w:i/>
          <w:iCs/>
        </w:rPr>
        <w:t>BMC Health Serv Res</w:t>
      </w:r>
      <w:r>
        <w:t xml:space="preserve"> 9, 160. https://doi.org/10.1186/1472-6963-9-160</w:t>
      </w:r>
    </w:p>
    <w:p w14:paraId="753BC21C" w14:textId="77777777" w:rsidR="00C9315D" w:rsidRDefault="003261EC">
      <w:pPr>
        <w:spacing w:before="240" w:after="160" w:line="256" w:lineRule="auto"/>
        <w:ind w:left="720" w:hanging="720"/>
      </w:pPr>
      <w:r>
        <w:t xml:space="preserve">Couper M. P., &amp; Ofstedal M. B. (2009) Keeping in contact with mobile sample members. In: P. Lynn (ed.), </w:t>
      </w:r>
      <w:r>
        <w:rPr>
          <w:i/>
          <w:iCs/>
        </w:rPr>
        <w:t>Methodology of Longitudinal Surveys</w:t>
      </w:r>
      <w:r>
        <w:t xml:space="preserve"> (pp. 183-203). Chichester: Wiley.</w:t>
      </w:r>
    </w:p>
    <w:p w14:paraId="1092A7BB" w14:textId="77777777" w:rsidR="00C9315D" w:rsidRDefault="003261EC">
      <w:pPr>
        <w:spacing w:before="240" w:after="160" w:line="256" w:lineRule="auto"/>
        <w:ind w:left="720" w:hanging="720"/>
        <w:rPr>
          <w:sz w:val="24"/>
          <w:szCs w:val="24"/>
        </w:rPr>
      </w:pPr>
      <w:r>
        <w:rPr>
          <w:color w:val="1F1F1F"/>
          <w:sz w:val="23"/>
          <w:szCs w:val="23"/>
          <w:highlight w:val="white"/>
        </w:rPr>
        <w:t xml:space="preserve">Couper, M. P., E. Singer and R. A. Kulka (1998). "Participation in the 1990 Decennial Census: Politics, Privacy, Pressures." </w:t>
      </w:r>
      <w:r>
        <w:rPr>
          <w:i/>
          <w:iCs/>
          <w:color w:val="1F1F1F"/>
          <w:sz w:val="23"/>
          <w:szCs w:val="23"/>
          <w:highlight w:val="white"/>
        </w:rPr>
        <w:t>American Politics Research</w:t>
      </w:r>
      <w:r>
        <w:rPr>
          <w:color w:val="1F1F1F"/>
          <w:sz w:val="23"/>
          <w:szCs w:val="23"/>
          <w:highlight w:val="white"/>
        </w:rPr>
        <w:t xml:space="preserve"> 26(1): 59-80.</w:t>
      </w:r>
      <w:r>
        <w:rPr>
          <w:sz w:val="24"/>
          <w:szCs w:val="24"/>
        </w:rPr>
        <w:t xml:space="preserve"> </w:t>
      </w:r>
    </w:p>
    <w:p w14:paraId="653978A3" w14:textId="77777777" w:rsidR="00C9315D" w:rsidRDefault="003261EC">
      <w:pPr>
        <w:spacing w:before="240" w:after="160" w:line="256" w:lineRule="auto"/>
        <w:ind w:left="720" w:hanging="720"/>
      </w:pPr>
      <w:r>
        <w:t>de Leeuw, E. D., &amp; Lugtig, P. (2015). Dropouts in longitudinal surveys. In: Wiley StatsRef: Statistics Reference Online. John Wiley &amp; Sons. https://doi.org/10.1002/9781118445112.stat06661.pub2</w:t>
      </w:r>
    </w:p>
    <w:p w14:paraId="68D5FEE5" w14:textId="77777777" w:rsidR="00C9315D" w:rsidRDefault="003261EC">
      <w:pPr>
        <w:spacing w:before="240" w:after="160" w:line="256" w:lineRule="auto"/>
        <w:ind w:left="720" w:hanging="720"/>
      </w:pPr>
      <w:r>
        <w:t xml:space="preserve">DeBell, M. (2023). The Visible Cash Effect with Prepaid Incentives: Evidence for Data Quality, Response Rates, Generalizability, and Cost. </w:t>
      </w:r>
      <w:r>
        <w:rPr>
          <w:i/>
          <w:iCs/>
        </w:rPr>
        <w:t>Journal of Survey Statistics and Methodology</w:t>
      </w:r>
      <w:r>
        <w:t>, 11(5), 991–1010. https://doi.org/10.1093/jssam/smac032</w:t>
      </w:r>
    </w:p>
    <w:p w14:paraId="74A096CB" w14:textId="77777777" w:rsidR="00C9315D" w:rsidRDefault="003261EC">
      <w:pPr>
        <w:spacing w:before="240" w:after="160" w:line="256" w:lineRule="auto"/>
        <w:ind w:left="720" w:hanging="720"/>
      </w:pPr>
      <w:r>
        <w:t xml:space="preserve">Décieux, J. P., Zinn, S., &amp; Ette, A. (2025). Effects of Changing the Incentive Strategy on Panel Performance: Experimental Evidence From a Probability-Based Online Panel of Refugees. </w:t>
      </w:r>
      <w:r>
        <w:rPr>
          <w:i/>
          <w:iCs/>
        </w:rPr>
        <w:t>Survey Research Methods</w:t>
      </w:r>
      <w:r>
        <w:t>, 19(2), 223–239. https://doi.org/10.18148/srm/2025.v19i2.8437</w:t>
      </w:r>
    </w:p>
    <w:p w14:paraId="4FC5D066" w14:textId="77777777" w:rsidR="00C9315D" w:rsidRDefault="003261EC">
      <w:pPr>
        <w:spacing w:before="240" w:after="160" w:line="256" w:lineRule="auto"/>
        <w:ind w:left="720" w:hanging="720"/>
      </w:pPr>
      <w:r>
        <w:t xml:space="preserve">Deeg, D. J. H., van Tilburg, T., Smit, J. H., &amp; de Leeuw, E. D. (2002). Attrition in the Longitudinal Aging Study Amsterdam: The effect of Differential Inclusion in Side Studies, </w:t>
      </w:r>
      <w:r>
        <w:rPr>
          <w:i/>
          <w:iCs/>
        </w:rPr>
        <w:t>Journal of Clinical Epidemiology</w:t>
      </w:r>
      <w:r>
        <w:t>, 55(4), 319-328, https://doi.org/10.1016/S0895-4356(01)00475-9</w:t>
      </w:r>
    </w:p>
    <w:p w14:paraId="72D8AD32" w14:textId="77777777" w:rsidR="00C9315D" w:rsidRDefault="003261EC">
      <w:pPr>
        <w:spacing w:before="240" w:after="160" w:line="256" w:lineRule="auto"/>
        <w:ind w:left="720" w:hanging="720"/>
      </w:pPr>
      <w:r>
        <w:t xml:space="preserve">Deng, Y., Hillygus, D. S., Reiter, J. P., Si, Y., &amp; Zheng, S. (2013). Handling attrition in longitudinal studies: The case for refreshment samples. </w:t>
      </w:r>
      <w:r>
        <w:rPr>
          <w:i/>
          <w:iCs/>
        </w:rPr>
        <w:t>Statistical Science</w:t>
      </w:r>
      <w:r>
        <w:t>, 28(2), 238-256. https://doi.org/10.1214/13-STS414</w:t>
      </w:r>
    </w:p>
    <w:p w14:paraId="7D7956B0" w14:textId="77777777" w:rsidR="00C9315D" w:rsidRDefault="003261EC">
      <w:pPr>
        <w:spacing w:before="240" w:after="160" w:line="256" w:lineRule="auto"/>
        <w:ind w:left="720" w:hanging="720"/>
      </w:pPr>
      <w:r>
        <w:t xml:space="preserve">Deutskens, E., de Ruyter, K., Wetzels, M., &amp; Oosterveld, P. (2004). Response Rate and Response Quality of Internet-Based Surveys: An Experimental Study [https://doi.org/10.1023/b:mark.0000021968.86465.00]. </w:t>
      </w:r>
      <w:r>
        <w:rPr>
          <w:i/>
          <w:iCs/>
        </w:rPr>
        <w:t>Marketing Letters</w:t>
      </w:r>
      <w:r>
        <w:t xml:space="preserve">, 15(1), 21-36. http://dx.doi.org/10.1023/B:MARK.0000021968.86465.00 </w:t>
      </w:r>
    </w:p>
    <w:p w14:paraId="32FFA423" w14:textId="77777777" w:rsidR="00C9315D" w:rsidRDefault="003261EC">
      <w:pPr>
        <w:spacing w:before="240" w:after="160" w:line="256" w:lineRule="auto"/>
        <w:ind w:left="720" w:hanging="720"/>
      </w:pPr>
      <w:r>
        <w:t xml:space="preserve">Deville, J.-C., &amp; Särndal, C.-E. (1992). Calibration Estimators in Survey Sampling. </w:t>
      </w:r>
      <w:r>
        <w:rPr>
          <w:i/>
          <w:iCs/>
        </w:rPr>
        <w:t>Journal of the American Statistical Association</w:t>
      </w:r>
      <w:r>
        <w:t>, 87(418), 376-382. https://doi.org/10.2307/2290268</w:t>
      </w:r>
    </w:p>
    <w:p w14:paraId="1448927B" w14:textId="77777777" w:rsidR="00C9315D" w:rsidRDefault="003261EC">
      <w:pPr>
        <w:spacing w:before="240" w:after="160" w:line="256" w:lineRule="auto"/>
        <w:ind w:left="720" w:hanging="720"/>
      </w:pPr>
      <w:r>
        <w:t xml:space="preserve">Dillman, D.A. (2000). </w:t>
      </w:r>
      <w:r>
        <w:rPr>
          <w:i/>
          <w:iCs/>
        </w:rPr>
        <w:t>Internet and Mail Surveys: The Tailored Design Method</w:t>
      </w:r>
      <w:r>
        <w:t>. John Wiley: New York.</w:t>
      </w:r>
    </w:p>
    <w:p w14:paraId="3F284243" w14:textId="77777777" w:rsidR="00C9315D" w:rsidRDefault="003261EC">
      <w:pPr>
        <w:spacing w:before="240" w:after="160" w:line="256" w:lineRule="auto"/>
        <w:ind w:left="720" w:hanging="720"/>
      </w:pPr>
      <w:r>
        <w:t xml:space="preserve">Dillman, D. A., Sinclair, M. D., &amp; Clark, J. R. (1993). Effects of questionnaire length, respondent-friendly design, and a difficult question on response rates for occupant-addressed census mail surveys. </w:t>
      </w:r>
      <w:r>
        <w:rPr>
          <w:i/>
          <w:iCs/>
        </w:rPr>
        <w:t>Public Opinion Quarterly</w:t>
      </w:r>
      <w:r>
        <w:t xml:space="preserve">, 57(3), 289-304. </w:t>
      </w:r>
    </w:p>
    <w:p w14:paraId="0682EC6B" w14:textId="77777777" w:rsidR="00C9315D" w:rsidRDefault="003261EC">
      <w:pPr>
        <w:spacing w:before="240" w:after="160" w:line="256" w:lineRule="auto"/>
        <w:ind w:left="720" w:hanging="720"/>
      </w:pPr>
      <w:r>
        <w:t xml:space="preserve">Earp, M., Kaplan, R., &amp; Toth, D. (2022). Modeling the relationship between proxy measures of respondent burden and survey response rates in a household panel survey. </w:t>
      </w:r>
      <w:r>
        <w:rPr>
          <w:i/>
          <w:iCs/>
        </w:rPr>
        <w:t>Journal of Official Statistics</w:t>
      </w:r>
      <w:r>
        <w:t>, 38(4), 1145-1175. https://doi.org/10.2478/JOS-2022-0049</w:t>
      </w:r>
    </w:p>
    <w:p w14:paraId="67B483CF" w14:textId="77777777" w:rsidR="00C9315D" w:rsidRDefault="003261EC">
      <w:pPr>
        <w:spacing w:before="240" w:after="160" w:line="256" w:lineRule="auto"/>
        <w:ind w:left="720" w:hanging="720"/>
      </w:pPr>
      <w:r>
        <w:lastRenderedPageBreak/>
        <w:t xml:space="preserve">Edwards, P., Roberts, I., Sandercock, P., &amp; Frost, C. (2004). Follow-up by mail in clinical trials: does questionnaire length matter? </w:t>
      </w:r>
      <w:r>
        <w:rPr>
          <w:i/>
          <w:iCs/>
        </w:rPr>
        <w:t>Controlled Clinical Trials</w:t>
      </w:r>
      <w:r>
        <w:t xml:space="preserve">, 25(1), 31-52. http://www.sciencedirect.com/science/article/pii/S0197245603001387 </w:t>
      </w:r>
    </w:p>
    <w:p w14:paraId="13318C38" w14:textId="77777777" w:rsidR="00C9315D" w:rsidRDefault="003261EC">
      <w:pPr>
        <w:spacing w:before="240" w:after="160" w:line="256" w:lineRule="auto"/>
        <w:ind w:left="720" w:hanging="720"/>
      </w:pPr>
      <w:r>
        <w:t xml:space="preserve">Eggleston, J. (2024). Frequent survey requests and declining response rates: Evidence from the 2020 Census and household surveys. </w:t>
      </w:r>
      <w:r>
        <w:rPr>
          <w:i/>
          <w:iCs/>
        </w:rPr>
        <w:t>Journal of Survey Statistics and Methodology</w:t>
      </w:r>
      <w:r>
        <w:t>, 12(5), 1138-1156, https://doi.org/10.1093/jssam/smae022</w:t>
      </w:r>
    </w:p>
    <w:p w14:paraId="6EDD0906" w14:textId="77777777" w:rsidR="00C9315D" w:rsidRDefault="003261EC">
      <w:pPr>
        <w:spacing w:before="240" w:after="160" w:line="256" w:lineRule="auto"/>
        <w:ind w:left="720" w:hanging="720"/>
      </w:pPr>
      <w:r>
        <w:t xml:space="preserve">Elliott, Marc N., Megan K. Beckett, Kelly Chong, Katrin Hambarsoomians, and Ron D. Hays.(2008). How Do Proxy Responses and Proxy-Assisted Responses Differ from What Medicare Beneficiaries Might Have Reported About Their Health Care? </w:t>
      </w:r>
      <w:r>
        <w:rPr>
          <w:i/>
          <w:iCs/>
        </w:rPr>
        <w:t>HSR: Health Services Research</w:t>
      </w:r>
      <w:r>
        <w:t xml:space="preserve">, vol. 4, no. 3, pp. 833–848. </w:t>
      </w:r>
    </w:p>
    <w:p w14:paraId="30B00C5D" w14:textId="77777777" w:rsidR="00C9315D" w:rsidRDefault="003261EC">
      <w:pPr>
        <w:spacing w:before="240" w:after="160" w:line="256" w:lineRule="auto"/>
        <w:ind w:left="720" w:hanging="720"/>
      </w:pPr>
      <w:r>
        <w:t xml:space="preserve">Etter, J.-F., Perneger, T. V., &amp; Rougemont, A. (1996). Does Sponsorship Matter in Patient Satisfaction Surveys? A Randomized Trial. </w:t>
      </w:r>
      <w:r>
        <w:rPr>
          <w:i/>
          <w:iCs/>
        </w:rPr>
        <w:t>Medical Care</w:t>
      </w:r>
      <w:r>
        <w:t>, 34(4), 327-335.</w:t>
      </w:r>
    </w:p>
    <w:p w14:paraId="6CD715E3" w14:textId="77777777" w:rsidR="00C9315D" w:rsidRDefault="003261EC">
      <w:pPr>
        <w:spacing w:before="240" w:after="160" w:line="256" w:lineRule="auto"/>
        <w:ind w:left="720" w:hanging="720"/>
      </w:pPr>
      <w:r>
        <w:t xml:space="preserve">Fass-Holmes, B. (2022). Survey fatigue - Literature search and analysis of implications for student affairs policies and practices. </w:t>
      </w:r>
      <w:r>
        <w:rPr>
          <w:i/>
          <w:iCs/>
        </w:rPr>
        <w:t>Journal of Interdisciplinary Studies in Education</w:t>
      </w:r>
      <w:r>
        <w:t>, 11(1), 56-73. https://www.ojed.org/jise/article/view/3262</w:t>
      </w:r>
    </w:p>
    <w:p w14:paraId="126F97F5" w14:textId="77777777" w:rsidR="00C9315D" w:rsidRDefault="003261EC">
      <w:pPr>
        <w:spacing w:before="240" w:after="160" w:line="256" w:lineRule="auto"/>
        <w:ind w:left="720" w:hanging="720"/>
      </w:pPr>
      <w:r>
        <w:t xml:space="preserve">Frankel, L. L., &amp; Hillygus, D. S. (2014). Looking beyond demographics: Panel attrition in the ANES and GSS. </w:t>
      </w:r>
      <w:r>
        <w:rPr>
          <w:i/>
          <w:iCs/>
        </w:rPr>
        <w:t>Political Analysis</w:t>
      </w:r>
      <w:r>
        <w:t xml:space="preserve">, 22(3), 336-353. </w:t>
      </w:r>
    </w:p>
    <w:p w14:paraId="5E255A75" w14:textId="77777777" w:rsidR="00C9315D" w:rsidRDefault="003261EC">
      <w:pPr>
        <w:spacing w:before="240" w:after="160" w:line="256" w:lineRule="auto"/>
        <w:ind w:left="720" w:hanging="720"/>
      </w:pPr>
      <w:r>
        <w:t xml:space="preserve">Freedman, V. A., McGonagle, K. A., &amp; Couper, M. P. (2018). Use of a Targeted Sequential Mixed Mode Protocol in a Nationally Representative Panel Study, </w:t>
      </w:r>
      <w:r>
        <w:rPr>
          <w:i/>
          <w:iCs/>
        </w:rPr>
        <w:t>Journal of Survey Statistics and Methodology</w:t>
      </w:r>
      <w:r>
        <w:t>, 6(1), 98–121, https://doi.org/10.1093/jssam/smx012</w:t>
      </w:r>
    </w:p>
    <w:p w14:paraId="5A0C2D25" w14:textId="77777777" w:rsidR="00C9315D" w:rsidRDefault="003261EC">
      <w:pPr>
        <w:spacing w:before="240" w:after="160" w:line="256" w:lineRule="auto"/>
        <w:ind w:left="720" w:hanging="720"/>
      </w:pPr>
      <w:r>
        <w:t xml:space="preserve">Fumagalli, L., Laurie. H., &amp; Lynn, P. (2013). Experiments with methods to reduce attrition in longitudinal surveys, </w:t>
      </w:r>
      <w:r>
        <w:rPr>
          <w:i/>
          <w:iCs/>
        </w:rPr>
        <w:t>Journal of the Royal Statistical Society Series A: Statistics in Society</w:t>
      </w:r>
      <w:r>
        <w:t>, 176(2), 499-519, https://doi.org/10.1111/j.1467-985X.2012.01051.x</w:t>
      </w:r>
    </w:p>
    <w:p w14:paraId="202CBAD6" w14:textId="77777777" w:rsidR="00C9315D" w:rsidRDefault="003261EC">
      <w:pPr>
        <w:spacing w:before="240" w:after="160" w:line="256" w:lineRule="auto"/>
        <w:ind w:left="720" w:hanging="720"/>
      </w:pPr>
      <w:r>
        <w:t>Gaia, A. (2017). The effect of respondent incentives on panel attrition in a sequential mixed-mode design. Understanding Society Working Papers.</w:t>
      </w:r>
    </w:p>
    <w:p w14:paraId="6F0867C6" w14:textId="77777777" w:rsidR="00C9315D" w:rsidRDefault="003261EC">
      <w:pPr>
        <w:spacing w:before="240" w:after="160" w:line="256" w:lineRule="auto"/>
        <w:ind w:left="720" w:hanging="720"/>
      </w:pPr>
      <w:r>
        <w:t>Gaia, A., Benzeval, M., Bianchi, A., Brewer, M., Burton, J., Cernat, A., Creighton, M., Crossley, T., Delavande, A., Fisher, P., Jäckle, A., Jamal, A., Oberski, D., Popham, F., Whitley, E., Winter, J., &amp; Zafar, B. (2017). Understanding society innovation panel wave 9: results from methodological experiments. Understanding Society Working Paper Series.</w:t>
      </w:r>
    </w:p>
    <w:p w14:paraId="30821470" w14:textId="77777777" w:rsidR="00C9315D" w:rsidRDefault="003261EC">
      <w:pPr>
        <w:spacing w:before="240" w:after="160" w:line="256" w:lineRule="auto"/>
        <w:ind w:left="720" w:hanging="720"/>
      </w:pPr>
      <w:r>
        <w:t xml:space="preserve">Galesic, M. (2006). Dropouts on the web: Effects of interest and burden experienced during an online survey. </w:t>
      </w:r>
      <w:r>
        <w:rPr>
          <w:i/>
          <w:iCs/>
        </w:rPr>
        <w:t>Journal of Official Statistics</w:t>
      </w:r>
      <w:r>
        <w:t xml:space="preserve">, 22(2), 313. </w:t>
      </w:r>
    </w:p>
    <w:p w14:paraId="0956C9C2" w14:textId="77777777" w:rsidR="00C9315D" w:rsidRDefault="003261EC">
      <w:pPr>
        <w:spacing w:before="240" w:after="160" w:line="256" w:lineRule="auto"/>
        <w:ind w:left="720" w:hanging="720"/>
      </w:pPr>
      <w:r>
        <w:t xml:space="preserve">Galesic, M., &amp; Bosnjak, M. (2009). Effects of Questionnaire Length on Participation and Indicators of Response Quality in a Web Survey. </w:t>
      </w:r>
      <w:r>
        <w:rPr>
          <w:i/>
          <w:iCs/>
        </w:rPr>
        <w:t>The Public Opinion Quarterly</w:t>
      </w:r>
      <w:r>
        <w:t xml:space="preserve">, 73(2), 349-360. http://www.jstor.org/stable/25548084 </w:t>
      </w:r>
    </w:p>
    <w:p w14:paraId="6186CC60" w14:textId="77777777" w:rsidR="00C9315D" w:rsidRDefault="003261EC">
      <w:pPr>
        <w:spacing w:before="240" w:after="160" w:line="256" w:lineRule="auto"/>
        <w:ind w:left="720" w:hanging="720"/>
      </w:pPr>
      <w:r>
        <w:t xml:space="preserve">Ghafourifard M. (2024). Survey fatigue in questionnaire-based research: The issues and solutions. </w:t>
      </w:r>
      <w:r>
        <w:rPr>
          <w:i/>
          <w:iCs/>
        </w:rPr>
        <w:t>Journal of Caring Sciences</w:t>
      </w:r>
      <w:r>
        <w:t>, 13(4), 214-215. https://doi.org/10.34172/jcs.33287</w:t>
      </w:r>
    </w:p>
    <w:p w14:paraId="0B5B61DC" w14:textId="77777777" w:rsidR="00C9315D" w:rsidRDefault="003261EC">
      <w:pPr>
        <w:spacing w:before="240" w:after="160" w:line="256" w:lineRule="auto"/>
        <w:ind w:left="720" w:hanging="720"/>
      </w:pPr>
      <w:r>
        <w:lastRenderedPageBreak/>
        <w:t xml:space="preserve">Given, B. A., Keilman, L. J., Collins, C., &amp; Given, C. W. (1990). Strategies to minimize attrition in longitudinal studies. </w:t>
      </w:r>
      <w:r>
        <w:rPr>
          <w:i/>
          <w:iCs/>
        </w:rPr>
        <w:t>Nursing research</w:t>
      </w:r>
      <w:r>
        <w:t>, 39(3), 184-187.</w:t>
      </w:r>
    </w:p>
    <w:p w14:paraId="4BC5E660" w14:textId="77777777" w:rsidR="00C9315D" w:rsidRDefault="003261EC">
      <w:pPr>
        <w:spacing w:before="240" w:after="160" w:line="256" w:lineRule="auto"/>
        <w:ind w:left="720" w:hanging="720"/>
      </w:pPr>
      <w:r>
        <w:t>Groves, R. M., Presser, S., &amp; Dipko, S. (2004). The role of topic interest in survey participation decisions,</w:t>
      </w:r>
      <w:r>
        <w:rPr>
          <w:i/>
          <w:iCs/>
        </w:rPr>
        <w:t xml:space="preserve"> Public Opinion Quarterly</w:t>
      </w:r>
      <w:r>
        <w:t>, 68(1), 2-31, https://doi.org/10.1093/poq/nfh002</w:t>
      </w:r>
    </w:p>
    <w:p w14:paraId="0223C639" w14:textId="77777777" w:rsidR="00C9315D" w:rsidRDefault="003261EC">
      <w:pPr>
        <w:spacing w:before="240" w:after="160" w:line="256" w:lineRule="auto"/>
        <w:ind w:left="720" w:hanging="720"/>
      </w:pPr>
      <w:r>
        <w:t xml:space="preserve">Groves, R. M., Presser, S., Tourangeau, R., West, B., Couper, M. P., Singer, E., &amp; Toppe, C. (2012). Support for the Survey Sponsor and Nonresponse Bias. </w:t>
      </w:r>
      <w:r>
        <w:rPr>
          <w:i/>
          <w:iCs/>
        </w:rPr>
        <w:t>Public Opinion Quarterly</w:t>
      </w:r>
      <w:r>
        <w:t xml:space="preserve"> 76(3): 512-524.</w:t>
      </w:r>
    </w:p>
    <w:p w14:paraId="317827EA" w14:textId="77777777" w:rsidR="00C9315D" w:rsidRDefault="003261EC">
      <w:pPr>
        <w:spacing w:before="240" w:after="160" w:line="256" w:lineRule="auto"/>
        <w:ind w:left="720" w:hanging="720"/>
      </w:pPr>
      <w:r>
        <w:t xml:space="preserve">Groves, R. M., Singer, E., &amp; Corning, A. (2000). Leverage-saliency theory of survey participation: description and an illustration. </w:t>
      </w:r>
      <w:r>
        <w:rPr>
          <w:i/>
          <w:iCs/>
        </w:rPr>
        <w:t>The Public Opinion Quarterly</w:t>
      </w:r>
      <w:r>
        <w:t>, 64(3), 299-308. https://www.jstor.org/stable/3078721</w:t>
      </w:r>
    </w:p>
    <w:p w14:paraId="69A0001E" w14:textId="77777777" w:rsidR="00C9315D" w:rsidRDefault="003261EC">
      <w:pPr>
        <w:spacing w:before="240" w:after="160" w:line="256" w:lineRule="auto"/>
        <w:ind w:left="720" w:hanging="720"/>
      </w:pPr>
      <w:r>
        <w:t>Gummer, T., Christmann, P., Verhoeven, S., &amp; Wolf, C. (2022). Using a responsive survey design to innovate self-administered mixed-mode surveys.</w:t>
      </w:r>
      <w:r>
        <w:rPr>
          <w:i/>
          <w:iCs/>
        </w:rPr>
        <w:t xml:space="preserve"> Journal of the Royal Statistical Society Series A: Statistics in Society</w:t>
      </w:r>
      <w:r>
        <w:t xml:space="preserve">, 185(3), 916-932. </w:t>
      </w:r>
    </w:p>
    <w:p w14:paraId="3A317403" w14:textId="77777777" w:rsidR="00C9315D" w:rsidRDefault="003261EC">
      <w:pPr>
        <w:spacing w:before="240" w:after="160" w:line="256" w:lineRule="auto"/>
        <w:ind w:left="720" w:hanging="720"/>
      </w:pPr>
      <w:r>
        <w:t xml:space="preserve">Gummer, T., &amp; Daikeler, J. (2020). A Note on How Prior Survey Experience With Self-Administered Panel Surveys Affects Attrition in Different Modes. </w:t>
      </w:r>
      <w:r>
        <w:rPr>
          <w:i/>
          <w:iCs/>
        </w:rPr>
        <w:t>Social Science Computer Review</w:t>
      </w:r>
      <w:r>
        <w:t xml:space="preserve">, 38(4), 490-498. https://doi.org/10.1177/0894439318816986 </w:t>
      </w:r>
    </w:p>
    <w:p w14:paraId="163C6D43" w14:textId="77777777" w:rsidR="00C9315D" w:rsidRDefault="003261EC">
      <w:pPr>
        <w:spacing w:before="240" w:after="160" w:line="256" w:lineRule="auto"/>
        <w:ind w:left="720" w:hanging="720"/>
      </w:pPr>
      <w:r>
        <w:t xml:space="preserve">Gummer, T., &amp; Struminskaya, B. (2023). Early and Late Participation during the Field Period: Response Timing in a Mixed-Mode Probability-Based Panel Survey. </w:t>
      </w:r>
      <w:r>
        <w:rPr>
          <w:i/>
          <w:iCs/>
        </w:rPr>
        <w:t>Sociological Methods &amp; Research</w:t>
      </w:r>
      <w:r>
        <w:t xml:space="preserve">, 52(2), 909-932. https://doi.org/10.1177/0049124120914921 </w:t>
      </w:r>
    </w:p>
    <w:p w14:paraId="27385279" w14:textId="77777777" w:rsidR="00C9315D" w:rsidRDefault="003261EC">
      <w:pPr>
        <w:spacing w:before="240" w:after="160" w:line="256" w:lineRule="auto"/>
        <w:ind w:left="720" w:hanging="720"/>
      </w:pPr>
      <w:r>
        <w:t>Hauser, R., (2005) Tracking and Retention in the Wisconsin Longitudinal Study. Working paper series from the Center for Demography of Health and Aging (CDHA) at the University of Wisconsin–Madison.</w:t>
      </w:r>
    </w:p>
    <w:p w14:paraId="36C0A919" w14:textId="77777777" w:rsidR="00C9315D" w:rsidRDefault="003261EC">
      <w:pPr>
        <w:spacing w:before="240" w:after="160" w:line="256" w:lineRule="auto"/>
        <w:ind w:left="720" w:hanging="720"/>
      </w:pPr>
      <w:r>
        <w:t xml:space="preserve">Haunberger, S. (2011). To Participate or Not to Participate: Decision Processes Related to Survey Non-response. </w:t>
      </w:r>
      <w:r>
        <w:rPr>
          <w:i/>
          <w:iCs/>
        </w:rPr>
        <w:t>Bulletin of Sociological Methodology/Bulletin de Méthodologie Sociologique</w:t>
      </w:r>
      <w:r>
        <w:t xml:space="preserve">, 109(1), 39-55. https://doi.org/10.1177/0759106310387721 </w:t>
      </w:r>
    </w:p>
    <w:p w14:paraId="18240651" w14:textId="77777777" w:rsidR="00C9315D" w:rsidRDefault="003261EC">
      <w:pPr>
        <w:spacing w:before="240" w:after="160" w:line="256" w:lineRule="auto"/>
        <w:ind w:left="720" w:hanging="720"/>
      </w:pPr>
      <w:r>
        <w:t xml:space="preserve">Heid, A. R., Cartwright, F. P., Wilson-Genderson, M., &amp; Pruchno, R. (2021). Understanding Attrition and Bolstering Retention in a Longitudinal Panel of Older Adults: ORANJ BOWL. </w:t>
      </w:r>
      <w:r>
        <w:rPr>
          <w:i/>
          <w:iCs/>
        </w:rPr>
        <w:t>Innovation in Aging</w:t>
      </w:r>
      <w:r>
        <w:t xml:space="preserve">, 5(2), igab010. https://doi.org/10.1093/geroni/igab010 </w:t>
      </w:r>
    </w:p>
    <w:p w14:paraId="391309EC" w14:textId="77777777" w:rsidR="00C9315D" w:rsidRDefault="003261EC">
      <w:pPr>
        <w:spacing w:before="240" w:after="240" w:line="256" w:lineRule="auto"/>
        <w:ind w:left="720" w:hanging="720"/>
        <w:rPr>
          <w:color w:val="222222"/>
        </w:rPr>
      </w:pPr>
      <w:r>
        <w:rPr>
          <w:color w:val="222222"/>
        </w:rPr>
        <w:t xml:space="preserve">Hernandez, R., Jin, H., Lee, P. J., Schneider, S., Junghaenel, D. U., Stone, A. A., ... &amp; Zelinski, E. M. (2024). Attrition from longitudinal ageing studies and performance across domains of cognitive functioning: an individual participant data meta-analysis. </w:t>
      </w:r>
      <w:r>
        <w:rPr>
          <w:i/>
          <w:iCs/>
          <w:color w:val="222222"/>
        </w:rPr>
        <w:t>BMJ open</w:t>
      </w:r>
      <w:r>
        <w:rPr>
          <w:color w:val="222222"/>
        </w:rPr>
        <w:t xml:space="preserve">, </w:t>
      </w:r>
      <w:r>
        <w:rPr>
          <w:i/>
          <w:iCs/>
          <w:color w:val="222222"/>
        </w:rPr>
        <w:t>14</w:t>
      </w:r>
      <w:r>
        <w:rPr>
          <w:color w:val="222222"/>
        </w:rPr>
        <w:t>(3), e079241.</w:t>
      </w:r>
    </w:p>
    <w:p w14:paraId="2A707AED" w14:textId="77777777" w:rsidR="00C9315D" w:rsidRDefault="003261EC">
      <w:pPr>
        <w:spacing w:before="240" w:after="160" w:line="256" w:lineRule="auto"/>
        <w:ind w:left="720" w:hanging="720"/>
      </w:pPr>
      <w:r>
        <w:t xml:space="preserve">Hill, D. H., &amp; Willis, R. J. (2001). Reducing panel attrition: A search for effective policy instruments. </w:t>
      </w:r>
      <w:r>
        <w:rPr>
          <w:i/>
          <w:iCs/>
        </w:rPr>
        <w:t>Journal of Human Resources</w:t>
      </w:r>
      <w:r>
        <w:t>, 36(3), 416-438. https://www.jstor.org/stable/3069625</w:t>
      </w:r>
    </w:p>
    <w:p w14:paraId="3828A7EC" w14:textId="77777777" w:rsidR="00C9315D" w:rsidRDefault="003261EC">
      <w:pPr>
        <w:spacing w:before="240" w:after="160" w:line="256" w:lineRule="auto"/>
        <w:ind w:left="720" w:hanging="720"/>
      </w:pPr>
      <w:r>
        <w:t xml:space="preserve">Holt, D., &amp; Smith, T. M. F. (1979). Post Stratification. </w:t>
      </w:r>
      <w:r>
        <w:rPr>
          <w:i/>
          <w:iCs/>
        </w:rPr>
        <w:t>Journal of the Royal Statistical Society. Series A (General)</w:t>
      </w:r>
      <w:r>
        <w:t>, 142(1), 33-46. https://doi.org/10.2307/2344652</w:t>
      </w:r>
    </w:p>
    <w:p w14:paraId="0ABEC9B3" w14:textId="77777777" w:rsidR="00C9315D" w:rsidRDefault="003261EC">
      <w:pPr>
        <w:spacing w:before="240" w:after="160" w:line="256" w:lineRule="auto"/>
        <w:ind w:left="720" w:hanging="720"/>
      </w:pPr>
      <w:r>
        <w:lastRenderedPageBreak/>
        <w:t xml:space="preserve">Hoogendoorn, A. W., &amp; Sikkel, D. (1998). Response Burden and Panel Attrition. </w:t>
      </w:r>
      <w:r>
        <w:rPr>
          <w:i/>
          <w:iCs/>
        </w:rPr>
        <w:t>Journal of Official Statistics</w:t>
      </w:r>
      <w:r>
        <w:t xml:space="preserve"> 14 (2): 189–205. </w:t>
      </w:r>
      <w:hyperlink r:id="rId11">
        <w:r>
          <w:rPr>
            <w:color w:val="1155CC"/>
            <w:u w:val="single"/>
          </w:rPr>
          <w:t>https://doi.org/10.2478/jos-2022-0041</w:t>
        </w:r>
      </w:hyperlink>
    </w:p>
    <w:p w14:paraId="544C9E02" w14:textId="77777777" w:rsidR="00C9315D" w:rsidRDefault="003261EC">
      <w:pPr>
        <w:spacing w:after="160" w:line="256" w:lineRule="auto"/>
        <w:ind w:left="720" w:hanging="720"/>
        <w:rPr>
          <w:sz w:val="24"/>
          <w:szCs w:val="24"/>
        </w:rPr>
      </w:pPr>
      <w:r>
        <w:t xml:space="preserve">Hope, S., Campanelli, P., Nicolaas, G., Lynn, P., &amp; Jäckle, A. (2022). The Role of the Interviewer in Producing Mode Effects: Results From a Mixed Modes Experiment Comparing Face-to-Face, Telephone and Web Administration. </w:t>
      </w:r>
      <w:r>
        <w:rPr>
          <w:i/>
          <w:iCs/>
        </w:rPr>
        <w:t>Survey Research Methods</w:t>
      </w:r>
      <w:r>
        <w:t>, 207-226. https://doi.org/10.18148/SRM/2022.V16I2.7771</w:t>
      </w:r>
    </w:p>
    <w:p w14:paraId="1A56A598" w14:textId="77777777" w:rsidR="00C9315D" w:rsidRDefault="003261EC">
      <w:pPr>
        <w:spacing w:before="240" w:after="240" w:line="256" w:lineRule="auto"/>
        <w:ind w:left="720" w:hanging="720"/>
        <w:rPr>
          <w:color w:val="222222"/>
        </w:rPr>
      </w:pPr>
      <w:r>
        <w:rPr>
          <w:color w:val="222222"/>
        </w:rPr>
        <w:t xml:space="preserve">Hui, D., Glitza, I., Chisholm, G., Yennu, S., &amp; Bruera, E. (2013). Attrition rates, reasons, and predictive factors in supportive care and palliative oncology clinical trials. </w:t>
      </w:r>
      <w:r>
        <w:rPr>
          <w:i/>
          <w:iCs/>
          <w:color w:val="222222"/>
        </w:rPr>
        <w:t>Cancer</w:t>
      </w:r>
      <w:r>
        <w:rPr>
          <w:color w:val="222222"/>
        </w:rPr>
        <w:t xml:space="preserve">, </w:t>
      </w:r>
      <w:r>
        <w:rPr>
          <w:i/>
          <w:iCs/>
          <w:color w:val="222222"/>
        </w:rPr>
        <w:t>119</w:t>
      </w:r>
      <w:r>
        <w:rPr>
          <w:color w:val="222222"/>
        </w:rPr>
        <w:t>(5), 1098-1105.</w:t>
      </w:r>
    </w:p>
    <w:p w14:paraId="091B7D28" w14:textId="77777777" w:rsidR="00C9315D" w:rsidRDefault="003261EC">
      <w:pPr>
        <w:spacing w:before="240" w:after="160" w:line="256" w:lineRule="auto"/>
        <w:ind w:left="720" w:hanging="720"/>
      </w:pPr>
      <w:r>
        <w:t>Institute for Social Research, University of Michigan, May, 2025. PSID-2023 Main Interview User Manual: Release 2025.</w:t>
      </w:r>
    </w:p>
    <w:p w14:paraId="7E9D1F33" w14:textId="77777777" w:rsidR="00C9315D" w:rsidRDefault="003261EC">
      <w:pPr>
        <w:spacing w:before="240" w:after="240" w:line="256" w:lineRule="auto"/>
        <w:ind w:left="720" w:hanging="720"/>
        <w:rPr>
          <w:color w:val="222222"/>
        </w:rPr>
      </w:pPr>
      <w:r>
        <w:rPr>
          <w:color w:val="222222"/>
        </w:rPr>
        <w:t xml:space="preserve">Jacobsen, E., Ran, X., Liu, A., Chang, C. C. H., &amp; Ganguli, M. (2021). Predictors of attrition in a longitudinal population-based study of aging. </w:t>
      </w:r>
      <w:r>
        <w:rPr>
          <w:i/>
          <w:iCs/>
          <w:color w:val="222222"/>
        </w:rPr>
        <w:t>International psychogeriatrics</w:t>
      </w:r>
      <w:r>
        <w:rPr>
          <w:color w:val="222222"/>
        </w:rPr>
        <w:t xml:space="preserve">, </w:t>
      </w:r>
      <w:r>
        <w:rPr>
          <w:i/>
          <w:iCs/>
          <w:color w:val="222222"/>
        </w:rPr>
        <w:t>33</w:t>
      </w:r>
      <w:r>
        <w:rPr>
          <w:color w:val="222222"/>
        </w:rPr>
        <w:t>(8), 767-778.</w:t>
      </w:r>
    </w:p>
    <w:p w14:paraId="6CC2E627" w14:textId="77777777" w:rsidR="00C9315D" w:rsidRDefault="003261EC">
      <w:pPr>
        <w:spacing w:before="240" w:after="160" w:line="256" w:lineRule="auto"/>
        <w:ind w:left="720" w:hanging="720"/>
      </w:pPr>
      <w:r>
        <w:t xml:space="preserve">Jäckle, A., &amp; Lynn, P. (2008). Respondent incentives in a multi-mode panel survey: cumulative effects on nonresponse and bias. </w:t>
      </w:r>
      <w:r>
        <w:rPr>
          <w:i/>
          <w:iCs/>
        </w:rPr>
        <w:t>Survey Methodology</w:t>
      </w:r>
      <w:r>
        <w:t>, 34(1), 105–117.</w:t>
      </w:r>
    </w:p>
    <w:p w14:paraId="0C04657A" w14:textId="77777777" w:rsidR="00C9315D" w:rsidRDefault="003261EC">
      <w:pPr>
        <w:spacing w:before="240" w:after="160" w:line="256" w:lineRule="auto"/>
        <w:ind w:left="720" w:hanging="720"/>
      </w:pPr>
      <w:r>
        <w:t xml:space="preserve">Jackson, M. T., McPhee, C. B., &amp; Lavrakas, P. J. (2020). Using response propensity modeling to allocate noncontingent incentives in an address-based sample: Evidence from a national experiment. </w:t>
      </w:r>
      <w:r>
        <w:rPr>
          <w:i/>
          <w:iCs/>
        </w:rPr>
        <w:t>Journal of Survey Statistics and Methodology</w:t>
      </w:r>
      <w:r>
        <w:t xml:space="preserve">, 8(2), 385-411. </w:t>
      </w:r>
    </w:p>
    <w:p w14:paraId="1FB59DD0" w14:textId="77777777" w:rsidR="00C9315D" w:rsidRDefault="003261EC">
      <w:pPr>
        <w:spacing w:before="240" w:after="160" w:line="256" w:lineRule="auto"/>
        <w:ind w:left="720" w:hanging="720"/>
      </w:pPr>
      <w:r>
        <w:t xml:space="preserve">Kalton, G., &amp; Kasprzyk, D. (1986). The Treatment of Missing Survey Data. </w:t>
      </w:r>
      <w:r>
        <w:rPr>
          <w:i/>
          <w:iCs/>
        </w:rPr>
        <w:t>Survey Methodology</w:t>
      </w:r>
      <w:r>
        <w:t>, 12(1), 1-16.</w:t>
      </w:r>
    </w:p>
    <w:p w14:paraId="1573F9A6" w14:textId="77777777" w:rsidR="00C9315D" w:rsidRDefault="003261EC">
      <w:pPr>
        <w:spacing w:before="240" w:after="160" w:line="256" w:lineRule="auto"/>
        <w:ind w:left="720" w:hanging="720"/>
      </w:pPr>
      <w:r>
        <w:t xml:space="preserve">Kistler, A., Decker, S., Steiger, D., &amp; Novik, J. 2023. A Multimode Strategy to Contact Participants and Collect Responses in a Supplement to a Longitudinal Household Survey. </w:t>
      </w:r>
      <w:r>
        <w:rPr>
          <w:i/>
          <w:iCs/>
        </w:rPr>
        <w:t>Survey Methods: Insights From the Field</w:t>
      </w:r>
      <w:r>
        <w:t>. Retrieved from https://surveyinsights.org/?p=18357</w:t>
      </w:r>
    </w:p>
    <w:p w14:paraId="1D3D1AEA" w14:textId="77777777" w:rsidR="00C9315D" w:rsidRDefault="003261EC">
      <w:pPr>
        <w:spacing w:before="240" w:after="160" w:line="256" w:lineRule="auto"/>
        <w:ind w:left="720" w:hanging="720"/>
      </w:pPr>
      <w:r>
        <w:t xml:space="preserve">Kleinert, C., Christoph, B., &amp; Ruland, M. (2021). Experimental evidence on immediate and long-term consequences of test-induced respondent burden for panel attrition. </w:t>
      </w:r>
      <w:r>
        <w:rPr>
          <w:i/>
          <w:iCs/>
        </w:rPr>
        <w:t>Sociological Methods &amp; Research</w:t>
      </w:r>
      <w:r>
        <w:t>, 50(4), 1552-1583. https://doi.org/10.1177/0049124119826145</w:t>
      </w:r>
    </w:p>
    <w:p w14:paraId="4C3E5308" w14:textId="77777777" w:rsidR="00C9315D" w:rsidRDefault="003261EC">
      <w:pPr>
        <w:spacing w:before="240" w:after="160" w:line="256" w:lineRule="auto"/>
        <w:ind w:left="720" w:hanging="720"/>
      </w:pPr>
      <w:r>
        <w:t xml:space="preserve">Laurie, H., Smith, R., &amp; Scott, L. (1999). Strategies for reducing nonresponse in a longitudinal panel survey. </w:t>
      </w:r>
      <w:r>
        <w:rPr>
          <w:i/>
          <w:iCs/>
        </w:rPr>
        <w:t>Journal of Official Statistics</w:t>
      </w:r>
      <w:r>
        <w:t>, 15, 269-282.</w:t>
      </w:r>
    </w:p>
    <w:p w14:paraId="0E043373" w14:textId="77777777" w:rsidR="00C9315D" w:rsidRDefault="003261EC">
      <w:pPr>
        <w:spacing w:before="240" w:after="160" w:line="256" w:lineRule="auto"/>
        <w:ind w:left="720" w:hanging="720"/>
      </w:pPr>
      <w:r>
        <w:t xml:space="preserve">Laurie, H., &amp; Lynn, P. (2009). The use of respondent incentives on Longitudinal Surveys. In: P. Lynn (ed.), </w:t>
      </w:r>
      <w:r>
        <w:rPr>
          <w:i/>
          <w:iCs/>
        </w:rPr>
        <w:t xml:space="preserve">Methodology of longitudinal surveys </w:t>
      </w:r>
      <w:r>
        <w:t>(pp. 205–233). Chichester: John Wiley.</w:t>
      </w:r>
    </w:p>
    <w:p w14:paraId="52367893" w14:textId="77777777" w:rsidR="00C9315D" w:rsidRDefault="003261EC">
      <w:pPr>
        <w:spacing w:before="240" w:after="160" w:line="256" w:lineRule="auto"/>
        <w:ind w:left="720" w:hanging="720"/>
      </w:pPr>
      <w:r>
        <w:t>Leissou, E., Burton, P., &amp; Dubuque, D., 2025. Who would know how to reach you? Making the case for “contact persons (CPs)” in longitudinal studies. ESRA 2025</w:t>
      </w:r>
    </w:p>
    <w:p w14:paraId="0EBC8948" w14:textId="77777777" w:rsidR="00C9315D" w:rsidRDefault="003261EC">
      <w:pPr>
        <w:spacing w:before="240" w:after="160" w:line="256" w:lineRule="auto"/>
        <w:ind w:left="720" w:hanging="720"/>
      </w:pPr>
      <w:r>
        <w:lastRenderedPageBreak/>
        <w:t xml:space="preserve">Lepkowski, J. M., &amp; Couper, M. P. (2002). Nonresponse in the Second Wave of Longitudinal Household Surveys. In: R. M. Groves, D. A. Dillman, J. L. Eltinge, &amp; R. J. Little (eds.), </w:t>
      </w:r>
      <w:r>
        <w:rPr>
          <w:i/>
          <w:iCs/>
        </w:rPr>
        <w:t>Survey Nonresponse</w:t>
      </w:r>
      <w:r>
        <w:t xml:space="preserve"> (pp. 259–272). Wiley.</w:t>
      </w:r>
    </w:p>
    <w:p w14:paraId="71EB3584" w14:textId="77777777" w:rsidR="00C9315D" w:rsidRDefault="003261EC">
      <w:pPr>
        <w:spacing w:before="240" w:after="160" w:line="256" w:lineRule="auto"/>
        <w:ind w:left="720" w:hanging="720"/>
      </w:pPr>
      <w:r>
        <w:t xml:space="preserve">Little, R. J., &amp; Vartivarian, S. (2003). On Weighting the Rates in Non-Response Weights. </w:t>
      </w:r>
      <w:r>
        <w:rPr>
          <w:i/>
          <w:iCs/>
        </w:rPr>
        <w:t>Statistics in Medicine</w:t>
      </w:r>
      <w:r>
        <w:t>, 22(9), 1589-1599.</w:t>
      </w:r>
    </w:p>
    <w:p w14:paraId="67710927" w14:textId="77777777" w:rsidR="00C9315D" w:rsidRDefault="003261EC">
      <w:pPr>
        <w:spacing w:before="240" w:after="160" w:line="256" w:lineRule="auto"/>
        <w:ind w:left="720" w:hanging="720"/>
      </w:pPr>
      <w:r>
        <w:t xml:space="preserve">Little, R. J., West, B. T., Boonstra, P. S., &amp; Hu, J. (2019). Measures of the degree of departure from ignorable sample selection. </w:t>
      </w:r>
      <w:r>
        <w:rPr>
          <w:i/>
          <w:iCs/>
        </w:rPr>
        <w:t>Journal of Survey Statistics and Methodology</w:t>
      </w:r>
      <w:r>
        <w:t xml:space="preserve">, 8(5), 932-964. https://doi.org/10.1093/jssam/smz023 </w:t>
      </w:r>
    </w:p>
    <w:p w14:paraId="76791546" w14:textId="77777777" w:rsidR="00C9315D" w:rsidRDefault="003261EC">
      <w:pPr>
        <w:spacing w:before="240" w:after="160" w:line="256" w:lineRule="auto"/>
        <w:ind w:left="720" w:hanging="720"/>
      </w:pPr>
      <w:r>
        <w:t xml:space="preserve">Lugtig, P. (2014). Panel Attrition: Separating Stayers, Fast Attriters, Gradual Attriters, and Lurkers. </w:t>
      </w:r>
      <w:r>
        <w:rPr>
          <w:i/>
          <w:iCs/>
        </w:rPr>
        <w:t>Sociological Methods &amp; Research</w:t>
      </w:r>
      <w:r>
        <w:t>, 43(4), 699-723. https://doi.org/doi:10.1177/0049124113520305</w:t>
      </w:r>
    </w:p>
    <w:p w14:paraId="1E322527" w14:textId="77777777" w:rsidR="00C9315D" w:rsidRDefault="003261EC">
      <w:pPr>
        <w:spacing w:before="240" w:after="160" w:line="256" w:lineRule="auto"/>
        <w:ind w:left="720" w:hanging="720"/>
      </w:pPr>
      <w:r>
        <w:t>Lynn, P. (2012). Failing to locate panel sample members: minimising the risk. International Workshop on Household Survey Nonresponse, Ottawa, September. Available at: https://nonresponse.cjm.si/previous-workshops/2012-ottawa-canada/2012-papers/</w:t>
      </w:r>
    </w:p>
    <w:p w14:paraId="04C8136D" w14:textId="77777777" w:rsidR="00C9315D" w:rsidRDefault="003261EC">
      <w:pPr>
        <w:spacing w:before="240" w:after="160" w:line="256" w:lineRule="auto"/>
        <w:ind w:left="720" w:hanging="720"/>
      </w:pPr>
      <w:r>
        <w:t xml:space="preserve">Lynn, P. (2016). Targeted appeals for participation in letters to panel survey members. </w:t>
      </w:r>
      <w:r>
        <w:rPr>
          <w:i/>
          <w:iCs/>
        </w:rPr>
        <w:t>Public Opinion Quarterly</w:t>
      </w:r>
      <w:r>
        <w:t xml:space="preserve">, 80(3), 771-782. https://doi.org/10.1093/poq/nfw024 </w:t>
      </w:r>
    </w:p>
    <w:p w14:paraId="0A9DF04D" w14:textId="77777777" w:rsidR="00C9315D" w:rsidRDefault="003261EC">
      <w:pPr>
        <w:spacing w:after="160" w:line="256" w:lineRule="auto"/>
        <w:ind w:left="720" w:hanging="720"/>
        <w:rPr>
          <w:sz w:val="24"/>
          <w:szCs w:val="24"/>
        </w:rPr>
      </w:pPr>
      <w:r>
        <w:t xml:space="preserve">Lynn, P., Kaminska, O., &amp; Goldstein, H. (2014). Panel Attrition: How Important is Interviewer Continuity? </w:t>
      </w:r>
      <w:r>
        <w:rPr>
          <w:i/>
          <w:iCs/>
        </w:rPr>
        <w:t>Journal of Official Statistics</w:t>
      </w:r>
      <w:r>
        <w:t xml:space="preserve">, </w:t>
      </w:r>
      <w:r>
        <w:rPr>
          <w:i/>
          <w:iCs/>
        </w:rPr>
        <w:t>30</w:t>
      </w:r>
      <w:r>
        <w:t>(3), 443–457. https://doi.org/10.2478/jos-2014-0028</w:t>
      </w:r>
    </w:p>
    <w:p w14:paraId="68187A2F" w14:textId="77777777" w:rsidR="00C9315D" w:rsidRDefault="003261EC">
      <w:pPr>
        <w:spacing w:before="240" w:after="160" w:line="256" w:lineRule="auto"/>
        <w:ind w:left="720" w:hanging="720"/>
      </w:pPr>
      <w:r>
        <w:t>Marlar J. (2017). Using Text Messaging to Reach Survey Respondents. Gallup Methodology Blog. Available at https://news.gallup.com/opinion/methodology/221159/using-text-messaging-reach-survey-respondents.aspx.</w:t>
      </w:r>
    </w:p>
    <w:p w14:paraId="0E145078" w14:textId="77777777" w:rsidR="00C9315D" w:rsidRDefault="003261EC">
      <w:pPr>
        <w:spacing w:before="240" w:after="160" w:line="256" w:lineRule="auto"/>
        <w:ind w:left="720" w:hanging="720"/>
      </w:pPr>
      <w:r>
        <w:t xml:space="preserve">Martin, E., Abreu, D., &amp; Winters, F. (2001). Money and Motive: Effect of Incentives on Panel Attrition in the Survey of Income and Program Participation. </w:t>
      </w:r>
      <w:r>
        <w:rPr>
          <w:i/>
          <w:iCs/>
        </w:rPr>
        <w:t>Journal of Official Statistics</w:t>
      </w:r>
      <w:r>
        <w:t>, 17 (2): 267–284.</w:t>
      </w:r>
    </w:p>
    <w:p w14:paraId="3C5FB495" w14:textId="77777777" w:rsidR="00C9315D" w:rsidRDefault="003261EC">
      <w:pPr>
        <w:spacing w:after="160" w:line="256" w:lineRule="auto"/>
        <w:ind w:left="720" w:hanging="720"/>
      </w:pPr>
      <w:r>
        <w:t xml:space="preserve">Mavletova, A., &amp; Couper, M. P. (2014). Mobile Web Survey Design: Scrolling versus Paging, SMS versus E-mail Invitations. </w:t>
      </w:r>
      <w:r>
        <w:rPr>
          <w:i/>
          <w:iCs/>
        </w:rPr>
        <w:t>Journal of Survey Statistics and Methodology</w:t>
      </w:r>
      <w:r>
        <w:t xml:space="preserve">, 2(4), 498–518, </w:t>
      </w:r>
      <w:hyperlink r:id="rId12">
        <w:r>
          <w:rPr>
            <w:color w:val="1155CC"/>
            <w:u w:val="single"/>
          </w:rPr>
          <w:t>https://doi.org/10.1093/jssam/smu015</w:t>
        </w:r>
      </w:hyperlink>
    </w:p>
    <w:p w14:paraId="3E9F7951" w14:textId="77777777" w:rsidR="00C9315D" w:rsidRDefault="003261EC">
      <w:pPr>
        <w:spacing w:before="240" w:after="240" w:line="256" w:lineRule="auto"/>
        <w:ind w:left="720" w:hanging="720"/>
      </w:pPr>
      <w:r>
        <w:rPr>
          <w:color w:val="222222"/>
        </w:rPr>
        <w:t xml:space="preserve">McDougall Jr, G. J., Simpson, G., &amp; Friend, M. L. (2015). Strategies for research recruitment and retention of older adults of racial and ethnic minorities. </w:t>
      </w:r>
      <w:r>
        <w:rPr>
          <w:i/>
          <w:iCs/>
          <w:color w:val="222222"/>
        </w:rPr>
        <w:t>Journal of Gerontological Nursing</w:t>
      </w:r>
      <w:r>
        <w:rPr>
          <w:color w:val="222222"/>
        </w:rPr>
        <w:t xml:space="preserve">, </w:t>
      </w:r>
      <w:r>
        <w:rPr>
          <w:i/>
          <w:iCs/>
          <w:color w:val="222222"/>
        </w:rPr>
        <w:t>41</w:t>
      </w:r>
      <w:r>
        <w:rPr>
          <w:color w:val="222222"/>
        </w:rPr>
        <w:t>(5), 14-23.</w:t>
      </w:r>
    </w:p>
    <w:p w14:paraId="06FDF351" w14:textId="77777777" w:rsidR="00C9315D" w:rsidRDefault="003261EC">
      <w:pPr>
        <w:spacing w:before="240" w:after="160" w:line="256" w:lineRule="auto"/>
        <w:ind w:left="720" w:hanging="720"/>
      </w:pPr>
      <w:r>
        <w:t xml:space="preserve">McGonagle, K., Couper, M., &amp; Schoeni, R. F. (2011). Keeping track of panel members: an experimental test of a between-wave contact strategy. </w:t>
      </w:r>
      <w:r>
        <w:rPr>
          <w:i/>
          <w:iCs/>
        </w:rPr>
        <w:t>Journal of Official Statistics</w:t>
      </w:r>
      <w:r>
        <w:t>, 27(2), 319-338.</w:t>
      </w:r>
    </w:p>
    <w:p w14:paraId="576C2A90" w14:textId="77777777" w:rsidR="00C9315D" w:rsidRDefault="003261EC">
      <w:pPr>
        <w:spacing w:before="240" w:after="160" w:line="256" w:lineRule="auto"/>
        <w:ind w:left="720" w:hanging="720"/>
      </w:pPr>
      <w:r>
        <w:t xml:space="preserve">McGonagle, K. A., Sastry, N., &amp; Freedman, V. A. (2023). The effects of a targeted “early bird” incentive strategy on response rates, fieldwork effort, and costs in a national panel study. </w:t>
      </w:r>
      <w:r>
        <w:rPr>
          <w:i/>
          <w:iCs/>
        </w:rPr>
        <w:t>Journal of Survey Statistics and Methodology</w:t>
      </w:r>
      <w:r>
        <w:t>, 11, 1032-1053. https://doi.org/10.1093/jssam/smab042</w:t>
      </w:r>
    </w:p>
    <w:p w14:paraId="6BA9C2BB" w14:textId="77777777" w:rsidR="00C9315D" w:rsidRDefault="003261EC">
      <w:pPr>
        <w:spacing w:before="240" w:after="160" w:line="256" w:lineRule="auto"/>
        <w:ind w:left="720" w:hanging="720"/>
      </w:pPr>
      <w:r>
        <w:lastRenderedPageBreak/>
        <w:t xml:space="preserve">McGonagle, K. A., Schoeni, R. F., &amp; Couper, M. P. (2013). The Effects of a Between-Wave Incentive Experiment on Contact Update and Production Outcomes </w:t>
      </w:r>
      <w:r>
        <w:rPr>
          <w:i/>
          <w:iCs/>
        </w:rPr>
        <w:t>Journal of Official Statistics</w:t>
      </w:r>
      <w:r>
        <w:t>, 29(2), 1-17.</w:t>
      </w:r>
    </w:p>
    <w:p w14:paraId="6AA079C4" w14:textId="77777777" w:rsidR="00C9315D" w:rsidRDefault="003261EC">
      <w:pPr>
        <w:spacing w:before="240" w:after="160" w:line="256" w:lineRule="auto"/>
        <w:ind w:left="720" w:hanging="720"/>
      </w:pPr>
      <w:r>
        <w:t xml:space="preserve">McGonagle, K. A., &amp; Schoeni, R. F. (2015). The Effects of Multiple Between-Wave Interventions on Panel Maintenance. </w:t>
      </w:r>
      <w:r>
        <w:rPr>
          <w:i/>
          <w:iCs/>
        </w:rPr>
        <w:t>Field Methods</w:t>
      </w:r>
      <w:r>
        <w:t>, 27(4), 331-345.</w:t>
      </w:r>
    </w:p>
    <w:p w14:paraId="296C3B88" w14:textId="77777777" w:rsidR="00C9315D" w:rsidRDefault="003261EC">
      <w:pPr>
        <w:spacing w:before="240" w:after="240" w:line="256" w:lineRule="auto"/>
        <w:ind w:left="720" w:hanging="720"/>
      </w:pPr>
      <w:r>
        <w:rPr>
          <w:color w:val="222222"/>
        </w:rPr>
        <w:t xml:space="preserve">Mein, G., Johal, S., Grant, R. L., Seale, C., Ashcroft, R., &amp; Tinker, A. (2012). Predictors of two forms of attrition in a longitudinal health study involving ageing participants: an analysis based on the Whitehall II study. </w:t>
      </w:r>
      <w:r>
        <w:rPr>
          <w:i/>
          <w:iCs/>
          <w:color w:val="222222"/>
        </w:rPr>
        <w:t>BMC Medical Research Methodology</w:t>
      </w:r>
      <w:r>
        <w:rPr>
          <w:color w:val="222222"/>
        </w:rPr>
        <w:t xml:space="preserve">, </w:t>
      </w:r>
      <w:r>
        <w:rPr>
          <w:i/>
          <w:iCs/>
          <w:color w:val="222222"/>
        </w:rPr>
        <w:t>12</w:t>
      </w:r>
      <w:r>
        <w:rPr>
          <w:color w:val="222222"/>
        </w:rPr>
        <w:t>(1), 164.</w:t>
      </w:r>
    </w:p>
    <w:p w14:paraId="38349664" w14:textId="77777777" w:rsidR="00C9315D" w:rsidRDefault="003261EC">
      <w:pPr>
        <w:spacing w:before="240" w:after="160" w:line="256" w:lineRule="auto"/>
        <w:ind w:left="720" w:hanging="720"/>
      </w:pPr>
      <w:r>
        <w:t xml:space="preserve">Mercer A., Caporaso, A., Cantor, D., &amp; Townsend, R. (2015). How much gets you how much? Monetary incentives and response rates in household surveys. </w:t>
      </w:r>
      <w:r>
        <w:rPr>
          <w:i/>
          <w:iCs/>
        </w:rPr>
        <w:t>Public Opinion Quarterly</w:t>
      </w:r>
      <w:r>
        <w:t>, 79(1), 105–129. https://doi.org/10.1093/poq/nfu059</w:t>
      </w:r>
    </w:p>
    <w:p w14:paraId="547A46D4" w14:textId="77777777" w:rsidR="00C9315D" w:rsidRDefault="003261EC">
      <w:pPr>
        <w:spacing w:before="240" w:after="160" w:line="256" w:lineRule="auto"/>
        <w:ind w:left="720" w:hanging="720"/>
        <w:rPr>
          <w:color w:val="222222"/>
        </w:rPr>
      </w:pPr>
      <w:r>
        <w:rPr>
          <w:color w:val="222222"/>
        </w:rPr>
        <w:t xml:space="preserve">Moore, Jeffrey C. (1988). Miscellanea, Self/Proxy Response Status and Survey Response Quality, A Review of the Literature. </w:t>
      </w:r>
      <w:r>
        <w:rPr>
          <w:i/>
          <w:iCs/>
          <w:color w:val="222222"/>
        </w:rPr>
        <w:t>Journal of Official Statistics</w:t>
      </w:r>
      <w:r>
        <w:rPr>
          <w:color w:val="222222"/>
        </w:rPr>
        <w:t>, 4(2),155.</w:t>
      </w:r>
    </w:p>
    <w:p w14:paraId="71FC1E4F" w14:textId="77777777" w:rsidR="00C9315D" w:rsidRDefault="003261EC">
      <w:pPr>
        <w:spacing w:before="240" w:after="240" w:line="256" w:lineRule="auto"/>
        <w:ind w:left="720" w:hanging="720"/>
        <w:rPr>
          <w:color w:val="222222"/>
        </w:rPr>
      </w:pPr>
      <w:r>
        <w:rPr>
          <w:color w:val="222222"/>
        </w:rPr>
        <w:t xml:space="preserve">Moser, C. A., &amp; Kalton, G. (1972). </w:t>
      </w:r>
      <w:r>
        <w:rPr>
          <w:i/>
          <w:iCs/>
          <w:color w:val="222222"/>
        </w:rPr>
        <w:t>Survey Methods in Social Investigation</w:t>
      </w:r>
      <w:r>
        <w:rPr>
          <w:color w:val="222222"/>
        </w:rPr>
        <w:t xml:space="preserve"> (2nd ed.). Heinemann Educational.</w:t>
      </w:r>
    </w:p>
    <w:p w14:paraId="7023C118" w14:textId="77777777" w:rsidR="00C9315D" w:rsidRDefault="003261EC">
      <w:pPr>
        <w:spacing w:before="240" w:after="160" w:line="256" w:lineRule="auto"/>
        <w:ind w:left="720" w:hanging="720"/>
      </w:pPr>
      <w:r>
        <w:t xml:space="preserve">Millar, M. M., &amp; Dillman, D. A. (2011). Improving Response to Web and Mixed-Mode Surveys. </w:t>
      </w:r>
      <w:r>
        <w:rPr>
          <w:i/>
          <w:iCs/>
        </w:rPr>
        <w:t>Public Opinion Quarterly</w:t>
      </w:r>
      <w:r>
        <w:t>, 75(2), Pages 249–269. https://doi.org/10.1093/poq/nfr003</w:t>
      </w:r>
    </w:p>
    <w:p w14:paraId="26B3B46D" w14:textId="77777777" w:rsidR="00C9315D" w:rsidRDefault="003261EC">
      <w:pPr>
        <w:spacing w:before="240" w:after="160" w:line="256" w:lineRule="auto"/>
        <w:ind w:left="720" w:hanging="720"/>
      </w:pPr>
      <w:r>
        <w:t xml:space="preserve">Müller, K. (2025). Survey Nonresponse After Elections: Investigating the Role of Winner-Loser Effects in Panel Attrition. </w:t>
      </w:r>
      <w:r>
        <w:rPr>
          <w:i/>
          <w:iCs/>
        </w:rPr>
        <w:t>International Journal of Public Opinion Research</w:t>
      </w:r>
      <w:r>
        <w:t xml:space="preserve">, 37(3). https://doi.org/10.1093/ijpor/edaf031 </w:t>
      </w:r>
    </w:p>
    <w:p w14:paraId="571D7311" w14:textId="77777777" w:rsidR="00C9315D" w:rsidRDefault="003261EC">
      <w:pPr>
        <w:spacing w:before="240" w:after="240" w:line="256" w:lineRule="auto"/>
        <w:ind w:left="720" w:hanging="720"/>
        <w:rPr>
          <w:color w:val="222222"/>
        </w:rPr>
      </w:pPr>
      <w:r>
        <w:rPr>
          <w:color w:val="222222"/>
        </w:rPr>
        <w:t xml:space="preserve">National Academies of Sciences, Engineering, and Medicine (2017). </w:t>
      </w:r>
      <w:r>
        <w:rPr>
          <w:i/>
          <w:iCs/>
          <w:color w:val="222222"/>
        </w:rPr>
        <w:t>Developing a Methodological Research Program for Longitudinal Studies: Proceedings of a Workshop</w:t>
      </w:r>
      <w:r>
        <w:rPr>
          <w:color w:val="222222"/>
        </w:rPr>
        <w:t>. Washington, DC: The National Academies Press.</w:t>
      </w:r>
    </w:p>
    <w:p w14:paraId="1FD4393B" w14:textId="77777777" w:rsidR="00C9315D" w:rsidRDefault="003261EC">
      <w:pPr>
        <w:spacing w:before="240" w:after="240" w:line="256" w:lineRule="auto"/>
        <w:ind w:left="720"/>
        <w:rPr>
          <w:color w:val="222222"/>
        </w:rPr>
      </w:pPr>
      <w:r>
        <w:rPr>
          <w:color w:val="222222"/>
        </w:rPr>
        <w:t xml:space="preserve">Olson, K., J. D. Smyth, R. Horwitz, S. Keeter, V. Lesser, S. Marken, N. A. Mathiowetz, J. S. McCarthy, E. O’Brien, J. D. Opsomer, D. Steiger, D. Sterrett, J. Su, Z. T. Suzer-Gurtekin, C. Turakhia and J. Wagner (2021). "Transitions from Telephone Surveys to Self-Administered and Mixed-Mode Surveys: AAPOR Task Force Report." </w:t>
      </w:r>
      <w:r>
        <w:rPr>
          <w:i/>
          <w:iCs/>
          <w:color w:val="222222"/>
        </w:rPr>
        <w:t>Journal of Survey Statistics and Methodology</w:t>
      </w:r>
      <w:r>
        <w:rPr>
          <w:color w:val="222222"/>
        </w:rPr>
        <w:t xml:space="preserve"> 9(3): 381-411. </w:t>
      </w:r>
    </w:p>
    <w:p w14:paraId="2BA44F0C" w14:textId="77777777" w:rsidR="00C9315D" w:rsidRDefault="003261EC">
      <w:pPr>
        <w:spacing w:before="240" w:after="240" w:line="256" w:lineRule="auto"/>
        <w:ind w:left="720" w:hanging="720"/>
      </w:pPr>
      <w:r>
        <w:rPr>
          <w:color w:val="222222"/>
        </w:rPr>
        <w:t xml:space="preserve">Outes-Leon, I., &amp; Dercon, S. (2009). </w:t>
      </w:r>
      <w:r>
        <w:rPr>
          <w:i/>
          <w:iCs/>
          <w:color w:val="222222"/>
        </w:rPr>
        <w:t>Survey Attrition and Attrition Bias in Young Lives</w:t>
      </w:r>
      <w:r>
        <w:rPr>
          <w:color w:val="222222"/>
        </w:rPr>
        <w:t>. Department of International Development, University of Oxford. Oxford, United Kingdom. Available at: https://ora.ox.ac.uk/objects/uuid:f48ddfdc-a37a-43ba-9e85-4b6b6bbae0de#citeForm</w:t>
      </w:r>
    </w:p>
    <w:p w14:paraId="59794531" w14:textId="77777777" w:rsidR="00C9315D" w:rsidRDefault="003261EC">
      <w:pPr>
        <w:spacing w:before="240" w:after="160" w:line="256" w:lineRule="auto"/>
        <w:ind w:left="720" w:hanging="720"/>
      </w:pPr>
      <w:r>
        <w:t xml:space="preserve">Park, A., Calderwood, L., &amp; Wong, E. (2019). Participant engagement in longitudinal studies: Current practice, opportunities and challenges. </w:t>
      </w:r>
      <w:r>
        <w:rPr>
          <w:i/>
          <w:iCs/>
        </w:rPr>
        <w:t>Social Research Practice</w:t>
      </w:r>
      <w:r>
        <w:t>, 7, 4-14.</w:t>
      </w:r>
    </w:p>
    <w:p w14:paraId="1C604DBB" w14:textId="77777777" w:rsidR="00C9315D" w:rsidRDefault="003261EC">
      <w:pPr>
        <w:spacing w:before="240" w:after="160" w:line="256" w:lineRule="auto"/>
        <w:ind w:left="720" w:hanging="720"/>
      </w:pPr>
      <w:r>
        <w:t xml:space="preserve">Peytchev, A. (2009). Survey Breakoff. </w:t>
      </w:r>
      <w:r>
        <w:rPr>
          <w:i/>
          <w:iCs/>
        </w:rPr>
        <w:t>Public Opinion Quarterly</w:t>
      </w:r>
      <w:r>
        <w:t xml:space="preserve">, 73(1), 74-97. https://doi.org/10.1093/poq/nfp014 </w:t>
      </w:r>
    </w:p>
    <w:p w14:paraId="3592CC1C" w14:textId="77777777" w:rsidR="00C9315D" w:rsidRDefault="003261EC">
      <w:pPr>
        <w:spacing w:before="240" w:after="160" w:line="256" w:lineRule="auto"/>
        <w:ind w:left="720" w:hanging="720"/>
      </w:pPr>
      <w:r>
        <w:lastRenderedPageBreak/>
        <w:t xml:space="preserve">Peytchev, A., Peytcheva, E., Conzelmann, J. G., Wilson, A., &amp; Wine, J., (2020). Modular Survey Design: Experimental Manipulation of Survey Length and Monetary Incentive Structure, </w:t>
      </w:r>
      <w:r>
        <w:rPr>
          <w:i/>
          <w:iCs/>
        </w:rPr>
        <w:t>Journal of Survey Statistics and Methodology</w:t>
      </w:r>
      <w:r>
        <w:t>, 8(2), 370–384. https://doi.org/10.1093/jssam/smz006</w:t>
      </w:r>
    </w:p>
    <w:p w14:paraId="5BAD2B75" w14:textId="77777777" w:rsidR="00C9315D" w:rsidRDefault="003261EC">
      <w:pPr>
        <w:spacing w:before="240" w:after="160" w:line="256" w:lineRule="auto"/>
        <w:ind w:left="720" w:hanging="720"/>
      </w:pPr>
      <w:r>
        <w:t xml:space="preserve">Peytchev, A., Pratt, D., &amp; Duprey, M. (2022). Responsive and Adaptive Survey Design: Use of Bias Propensity During Data Collection to Reduce Nonresponse Bias. </w:t>
      </w:r>
      <w:r>
        <w:rPr>
          <w:i/>
          <w:iCs/>
        </w:rPr>
        <w:t>Journal of Survey Statistics and Methodology,</w:t>
      </w:r>
      <w:r>
        <w:t xml:space="preserve"> 10(1), 131-148. https://doi.org/10.1093/jssam/smaa013 </w:t>
      </w:r>
    </w:p>
    <w:p w14:paraId="1D6906D1" w14:textId="77777777" w:rsidR="00C9315D" w:rsidRDefault="003261EC">
      <w:pPr>
        <w:spacing w:before="240" w:after="160" w:line="256" w:lineRule="auto"/>
        <w:ind w:left="720"/>
      </w:pPr>
      <w:r>
        <w:t xml:space="preserve">Pforr, K., Blohm, M., Blom, A.G., Erdel, B., Felderer, B., Fräßdorf, M., et al. (2015). Are incentive effects on response rates and nonresponse bias in large-scale, face-to-face surveys generalizable to Germany? Evidence from ten experiments. </w:t>
      </w:r>
      <w:r>
        <w:rPr>
          <w:i/>
          <w:iCs/>
        </w:rPr>
        <w:t>Public Opinion Quarterly</w:t>
      </w:r>
      <w:r>
        <w:t>, 79(3), 740–768. https://doi.org/10.1093/poq/nfv014.</w:t>
      </w:r>
    </w:p>
    <w:p w14:paraId="61373533" w14:textId="77777777" w:rsidR="00C9315D" w:rsidRDefault="003261EC">
      <w:pPr>
        <w:spacing w:before="240" w:after="160" w:line="256" w:lineRule="auto"/>
        <w:ind w:left="720" w:hanging="720"/>
      </w:pPr>
      <w:r>
        <w:t xml:space="preserve">Porter, S. R., Whitcomb, M. E., &amp; Weitzer, W. H. (2004). Multiple surveys of students and survey fatigue. </w:t>
      </w:r>
      <w:r>
        <w:rPr>
          <w:i/>
          <w:iCs/>
        </w:rPr>
        <w:t>New Directions in Institutional Research</w:t>
      </w:r>
      <w:r>
        <w:t>, 2004(121), 63-73. https://doi.org/10.1002/ir.101</w:t>
      </w:r>
    </w:p>
    <w:p w14:paraId="1E00C4FD" w14:textId="77777777" w:rsidR="00C9315D" w:rsidRDefault="003261EC">
      <w:pPr>
        <w:spacing w:before="240" w:after="160" w:line="256" w:lineRule="auto"/>
        <w:ind w:left="720" w:hanging="720"/>
      </w:pPr>
      <w:r>
        <w:t xml:space="preserve">Presser, S., Blair, J., &amp; Triplett, T. (1992). Survey Sponsorship, Response Rates, and Response Effects. </w:t>
      </w:r>
      <w:r>
        <w:rPr>
          <w:i/>
          <w:iCs/>
        </w:rPr>
        <w:t>Social Science Quarterly</w:t>
      </w:r>
      <w:r>
        <w:t>, 73(3), 699-702. https://www.jstor.org/stable/42863089</w:t>
      </w:r>
    </w:p>
    <w:p w14:paraId="1E91E120" w14:textId="77777777" w:rsidR="00C9315D" w:rsidRDefault="003261EC">
      <w:pPr>
        <w:spacing w:before="240" w:after="160" w:line="256" w:lineRule="auto"/>
        <w:ind w:left="720" w:hanging="720"/>
      </w:pPr>
      <w:r>
        <w:t>Quezada, M., &amp; Bergmann, M. (2025). Impact of increased survey frequency on the participation of older respondents in longitudinal surveys. 11th Conference of the European Survey Research Association (ESRA), Utrecht, the Netherlands. Zenodo. https://doi.org/10.5281/zenodo.16682444</w:t>
      </w:r>
    </w:p>
    <w:p w14:paraId="5D76397A" w14:textId="77777777" w:rsidR="00C9315D" w:rsidRDefault="003261EC">
      <w:pPr>
        <w:spacing w:before="240" w:after="160" w:line="256" w:lineRule="auto"/>
        <w:ind w:left="720" w:hanging="720"/>
      </w:pPr>
      <w:r>
        <w:t xml:space="preserve">Raghunathan, T. (2016). </w:t>
      </w:r>
      <w:r>
        <w:rPr>
          <w:i/>
          <w:iCs/>
        </w:rPr>
        <w:t>Missing Data Analysis in Practice</w:t>
      </w:r>
      <w:r>
        <w:t>. Taylor &amp; Francis Group.</w:t>
      </w:r>
    </w:p>
    <w:p w14:paraId="1B87E7A5" w14:textId="77777777" w:rsidR="00C9315D" w:rsidRDefault="003261EC">
      <w:pPr>
        <w:spacing w:before="240" w:after="240" w:line="256" w:lineRule="auto"/>
        <w:ind w:left="720" w:hanging="720"/>
      </w:pPr>
      <w:r>
        <w:rPr>
          <w:color w:val="222222"/>
        </w:rPr>
        <w:t xml:space="preserve">Riegel, K. F., Riegel, R. M., &amp; Meyer, G. (1967). A study of the dropout rates in longitudinal research on aging and the prediction of death. </w:t>
      </w:r>
      <w:r>
        <w:rPr>
          <w:i/>
          <w:iCs/>
        </w:rPr>
        <w:t>Journal of Personality and Social Psychology</w:t>
      </w:r>
      <w:r>
        <w:t xml:space="preserve">, </w:t>
      </w:r>
      <w:r>
        <w:rPr>
          <w:i/>
          <w:iCs/>
        </w:rPr>
        <w:t>5</w:t>
      </w:r>
      <w:r>
        <w:t>(3), 342.</w:t>
      </w:r>
    </w:p>
    <w:p w14:paraId="47CE751D" w14:textId="77777777" w:rsidR="00C9315D" w:rsidRDefault="003261EC">
      <w:pPr>
        <w:spacing w:before="240" w:after="160" w:line="256" w:lineRule="auto"/>
        <w:ind w:left="720" w:hanging="720"/>
      </w:pPr>
      <w:r>
        <w:t>Revilla, M., &amp; Höhne, J. K. (2020). How long do respondents think online surveys should be? New evidence from two online panels in Germany.</w:t>
      </w:r>
      <w:r>
        <w:rPr>
          <w:i/>
          <w:iCs/>
        </w:rPr>
        <w:t xml:space="preserve"> International Journal of Market Research</w:t>
      </w:r>
      <w:r>
        <w:t xml:space="preserve">, 62(5), 538-545. https://doi.org/10.1177/1470785320943049 </w:t>
      </w:r>
    </w:p>
    <w:p w14:paraId="566FC103" w14:textId="77777777" w:rsidR="00C9315D" w:rsidRDefault="003261EC">
      <w:pPr>
        <w:spacing w:before="240" w:after="160" w:line="256" w:lineRule="auto"/>
        <w:ind w:left="720" w:hanging="720"/>
      </w:pPr>
      <w:r>
        <w:t xml:space="preserve">Robb, K. A., Gatting, L., &amp; Wardle, J. (2017). What impact do questionnaire length and monetary incentives have on mailed health psychology survey response? </w:t>
      </w:r>
      <w:r>
        <w:rPr>
          <w:i/>
          <w:iCs/>
        </w:rPr>
        <w:t>British Journal of Health Psychology</w:t>
      </w:r>
      <w:r>
        <w:t xml:space="preserve">, 22(4), 671-685. https://doi.org/10.1111/bjhp.12239 </w:t>
      </w:r>
    </w:p>
    <w:p w14:paraId="184C6403" w14:textId="77777777" w:rsidR="00C9315D" w:rsidRDefault="003261EC">
      <w:pPr>
        <w:spacing w:before="240" w:after="160" w:line="256" w:lineRule="auto"/>
        <w:ind w:left="720" w:hanging="720"/>
      </w:pPr>
      <w:r>
        <w:t xml:space="preserve">Rookey, B. D., Le, L., Littlejohn, M., &amp; Dillman, D. A. (2012). Understanding the resilience of mail-back survey methods: An analysis of 20 years of change in response rates to national park surveys. </w:t>
      </w:r>
      <w:r>
        <w:rPr>
          <w:i/>
          <w:iCs/>
        </w:rPr>
        <w:t>Social Science Research</w:t>
      </w:r>
      <w:r>
        <w:t xml:space="preserve">, 41(6), 1404-1414. </w:t>
      </w:r>
    </w:p>
    <w:p w14:paraId="45A58B59" w14:textId="77777777" w:rsidR="00C9315D" w:rsidRDefault="003261EC">
      <w:pPr>
        <w:spacing w:before="240" w:after="160" w:line="256" w:lineRule="auto"/>
        <w:ind w:left="720" w:hanging="720"/>
      </w:pPr>
      <w:r>
        <w:t xml:space="preserve">Rosen, J. A., Murphy, J., Peytchev, A., Holder, T., Dever, J., Herget, D., &amp; Pratt, D. (2014). Prioritizing Low Propensity Sample Members in a Survey: Implications for Nonresponse Bias. </w:t>
      </w:r>
      <w:r>
        <w:rPr>
          <w:i/>
          <w:iCs/>
        </w:rPr>
        <w:t>Survey Practice</w:t>
      </w:r>
      <w:r>
        <w:t xml:space="preserve">, 7(1). https://doi.org/10.1.1.686.6795 </w:t>
      </w:r>
    </w:p>
    <w:p w14:paraId="7ADFC160" w14:textId="77777777" w:rsidR="00C9315D" w:rsidRDefault="003261EC">
      <w:pPr>
        <w:spacing w:before="240" w:after="240" w:line="256" w:lineRule="auto"/>
        <w:ind w:left="720" w:hanging="720"/>
      </w:pPr>
      <w:r>
        <w:lastRenderedPageBreak/>
        <w:t xml:space="preserve">Saiepour, N., Najman, J. M., Ware, R., Baker, P., Clavarino, A. M., &amp; Williams, G. M. (2019). Does attrition affect estimates of association: a longitudinal study. </w:t>
      </w:r>
      <w:r>
        <w:rPr>
          <w:i/>
          <w:iCs/>
        </w:rPr>
        <w:t>Journal of Psychiatric Research</w:t>
      </w:r>
      <w:r>
        <w:t xml:space="preserve">, </w:t>
      </w:r>
      <w:r>
        <w:rPr>
          <w:i/>
          <w:iCs/>
        </w:rPr>
        <w:t>110</w:t>
      </w:r>
      <w:r>
        <w:t>, 127-142.</w:t>
      </w:r>
    </w:p>
    <w:p w14:paraId="750A7D3A" w14:textId="77777777" w:rsidR="00C9315D" w:rsidRDefault="003261EC">
      <w:pPr>
        <w:spacing w:before="240" w:after="160" w:line="256" w:lineRule="auto"/>
        <w:ind w:left="720" w:hanging="720"/>
      </w:pPr>
      <w:r>
        <w:t xml:space="preserve">Sakshaug, Joseph W. (2015). Proxy Reporting in Health Surveys. In: T.P. Johnson (ed.). </w:t>
      </w:r>
      <w:r>
        <w:rPr>
          <w:i/>
          <w:iCs/>
        </w:rPr>
        <w:t>Handbook of Health Survey Methods</w:t>
      </w:r>
      <w:r>
        <w:t xml:space="preserve">. </w:t>
      </w:r>
    </w:p>
    <w:p w14:paraId="2E7315EE" w14:textId="77777777" w:rsidR="00C9315D" w:rsidRDefault="003261EC">
      <w:pPr>
        <w:spacing w:before="240" w:after="240" w:line="256" w:lineRule="auto"/>
        <w:ind w:left="720" w:hanging="720"/>
      </w:pPr>
      <w:r>
        <w:t xml:space="preserve">Sakshaug, J. W., &amp; Huber, M. (2016). An evaluation of panel nonresponse and linkage consent bias in a survey of employees in Germany. </w:t>
      </w:r>
      <w:r>
        <w:rPr>
          <w:i/>
          <w:iCs/>
        </w:rPr>
        <w:t>Journal of Survey Statistics and Methodology</w:t>
      </w:r>
      <w:r>
        <w:t xml:space="preserve">, </w:t>
      </w:r>
      <w:r>
        <w:rPr>
          <w:i/>
          <w:iCs/>
        </w:rPr>
        <w:t>4</w:t>
      </w:r>
      <w:r>
        <w:t>(1), 71-93.</w:t>
      </w:r>
    </w:p>
    <w:p w14:paraId="101D08AE" w14:textId="77777777" w:rsidR="00C9315D" w:rsidRDefault="003261EC">
      <w:pPr>
        <w:spacing w:before="240" w:after="160" w:line="256" w:lineRule="auto"/>
        <w:ind w:left="720" w:hanging="720"/>
      </w:pPr>
      <w:r>
        <w:t>Salvatore, C., Lugtig, P., &amp; Struminskaya, B. (2025). Youth Nonresponse in Panel Surveys: Investigating the Impact of Life Events. https://osf.io/download/br9ng</w:t>
      </w:r>
    </w:p>
    <w:p w14:paraId="44E2BE0C" w14:textId="77777777" w:rsidR="00C9315D" w:rsidRDefault="003261EC">
      <w:pPr>
        <w:spacing w:before="240" w:after="160" w:line="256" w:lineRule="auto"/>
        <w:ind w:left="720" w:hanging="720"/>
      </w:pPr>
      <w:r>
        <w:t xml:space="preserve">Sastry, N., &amp; McGonagle, K. A. (2022). Switching from Telephone to Web-First Mixed-Mode Data Collection: Results from The Transition into Adulthood Supplement to the US Panel Study of Income Dynamics. </w:t>
      </w:r>
      <w:r>
        <w:rPr>
          <w:i/>
          <w:iCs/>
        </w:rPr>
        <w:t>Journal of the Royal Statistical Society Series A: Statistics in Society</w:t>
      </w:r>
      <w:r>
        <w:t>, 185(3), 933–954. https://doi.org/10.1111/rssa.12840</w:t>
      </w:r>
    </w:p>
    <w:p w14:paraId="49A1AD19" w14:textId="77777777" w:rsidR="00C9315D" w:rsidRDefault="003261EC">
      <w:pPr>
        <w:spacing w:before="240" w:after="160" w:line="256" w:lineRule="auto"/>
        <w:ind w:left="720" w:hanging="720"/>
      </w:pPr>
      <w:r>
        <w:t xml:space="preserve">Saw, H.-W. (2025). Addressing survey nonresponse and attrition in probability-based online panels and online longitudinal data collections. Doctoral dissertation. </w:t>
      </w:r>
      <w:hyperlink r:id="rId13">
        <w:r>
          <w:rPr>
            <w:color w:val="1155CC"/>
            <w:u w:val="single"/>
          </w:rPr>
          <w:t>https://dx.doi.org/10.7302/26882</w:t>
        </w:r>
      </w:hyperlink>
    </w:p>
    <w:p w14:paraId="5A7A70A5" w14:textId="77777777" w:rsidR="00C9315D" w:rsidRDefault="003261EC">
      <w:pPr>
        <w:spacing w:before="240" w:after="160" w:line="256" w:lineRule="auto"/>
        <w:ind w:left="720"/>
      </w:pPr>
      <w:r>
        <w:t xml:space="preserve">Scheepers, E., &amp; Hoogendoorn-Lanser, S. (2018). State-of the-art of incentive strategies—implications for longitudinal travel surveys. </w:t>
      </w:r>
      <w:r>
        <w:rPr>
          <w:i/>
          <w:iCs/>
        </w:rPr>
        <w:t>Transportation Research Procedia</w:t>
      </w:r>
      <w:r>
        <w:t>, 32, 200–210. https://doi.org/10.1016/j.trpro.2018.10.036.</w:t>
      </w:r>
    </w:p>
    <w:p w14:paraId="26405E9B" w14:textId="77777777" w:rsidR="00C9315D" w:rsidRDefault="003261EC">
      <w:pPr>
        <w:spacing w:before="240" w:after="160" w:line="256" w:lineRule="auto"/>
        <w:ind w:left="720" w:hanging="720"/>
      </w:pPr>
      <w:r>
        <w:t>Scherpenzeel, A., Zimmermann, E., Budowski, M., Tillmann, R., Wernli, B., &amp; Gabadinho, A. (2002). Experimental Pre-Test of the Biographical Questionnaire. Working Paper, No. 5-02. Neuchatel: Swiss Household Panel. http://aresoas.unil.ch/workingpapers/WP5_02.pdf</w:t>
      </w:r>
    </w:p>
    <w:p w14:paraId="0E7A3308" w14:textId="77777777" w:rsidR="00C9315D" w:rsidRDefault="003261EC">
      <w:pPr>
        <w:spacing w:before="240" w:after="160" w:line="256" w:lineRule="auto"/>
        <w:ind w:left="720"/>
      </w:pPr>
      <w:r>
        <w:t xml:space="preserve">Schoeni, R. F., F. Stafford, K. A. McGonagle and P. Andreski (2013). "Response Rates in National Panel Surveys." </w:t>
      </w:r>
      <w:r>
        <w:rPr>
          <w:i/>
          <w:iCs/>
        </w:rPr>
        <w:t xml:space="preserve">The ANNALS of the American Academy of Political and Social Science </w:t>
      </w:r>
      <w:r>
        <w:t xml:space="preserve">645(1): 60-87. </w:t>
      </w:r>
    </w:p>
    <w:p w14:paraId="010481C4" w14:textId="77777777" w:rsidR="00C9315D" w:rsidRDefault="003261EC">
      <w:pPr>
        <w:spacing w:before="240" w:after="160" w:line="256" w:lineRule="auto"/>
        <w:ind w:left="720" w:hanging="720"/>
      </w:pPr>
      <w:r>
        <w:t xml:space="preserve">Schouten, B., Cobben, F., &amp; Bethlehem, J. G. (2009). Indicators for the representativeness of survey response. </w:t>
      </w:r>
      <w:r>
        <w:rPr>
          <w:i/>
          <w:iCs/>
        </w:rPr>
        <w:t>Survey Methodology</w:t>
      </w:r>
      <w:r>
        <w:t xml:space="preserve">, 35(1), 101-113. </w:t>
      </w:r>
    </w:p>
    <w:p w14:paraId="24F2F719" w14:textId="77777777" w:rsidR="00C9315D" w:rsidRDefault="003261EC">
      <w:pPr>
        <w:spacing w:before="240" w:after="160" w:line="256" w:lineRule="auto"/>
        <w:ind w:left="720" w:hanging="720"/>
      </w:pPr>
      <w:r>
        <w:t xml:space="preserve">Skidmore, Sara, Kirsten Barrett, Debra Wright, and Jennifer Gardner (2012). </w:t>
      </w:r>
      <w:r>
        <w:rPr>
          <w:i/>
          <w:iCs/>
        </w:rPr>
        <w:t>Conducting Surveys with Proxies: Evaluating a Standardized Measure to Determine Need.</w:t>
      </w:r>
      <w:r>
        <w:t xml:space="preserve"> MATHEMATICA Policy Research Working Paper 9.</w:t>
      </w:r>
    </w:p>
    <w:p w14:paraId="17FE4B15" w14:textId="77777777" w:rsidR="00C9315D" w:rsidRDefault="003261EC">
      <w:pPr>
        <w:spacing w:before="240" w:after="160" w:line="256" w:lineRule="auto"/>
        <w:ind w:left="720" w:hanging="720"/>
      </w:pPr>
      <w:r>
        <w:rPr>
          <w:color w:val="1F1F1F"/>
          <w:highlight w:val="white"/>
        </w:rPr>
        <w:t xml:space="preserve">Singer, E. (1978). "Informed Consent: Consequences for Response Rate and Response Quality in Social Surveys." </w:t>
      </w:r>
      <w:r>
        <w:rPr>
          <w:i/>
          <w:iCs/>
          <w:color w:val="1F1F1F"/>
          <w:highlight w:val="white"/>
        </w:rPr>
        <w:t>American Sociological Review</w:t>
      </w:r>
      <w:r>
        <w:rPr>
          <w:color w:val="1F1F1F"/>
          <w:highlight w:val="white"/>
        </w:rPr>
        <w:t xml:space="preserve"> 43(2): 144-162.</w:t>
      </w:r>
      <w:r>
        <w:t xml:space="preserve"> </w:t>
      </w:r>
    </w:p>
    <w:p w14:paraId="1193312C" w14:textId="77777777" w:rsidR="00C9315D" w:rsidRDefault="003261EC">
      <w:pPr>
        <w:spacing w:before="240" w:after="160" w:line="256" w:lineRule="auto"/>
        <w:ind w:left="720" w:hanging="720"/>
      </w:pPr>
      <w:r>
        <w:t xml:space="preserve">Singer, E., &amp; Ye, C. (2013). The use and effects of incentives in surveys. </w:t>
      </w:r>
      <w:r>
        <w:rPr>
          <w:i/>
          <w:iCs/>
        </w:rPr>
        <w:t>The Annals of the American Academy of Political and Social Science</w:t>
      </w:r>
      <w:r>
        <w:t>, 645(1), 112–141. https://doi.org/10.1177/0002716212458082</w:t>
      </w:r>
    </w:p>
    <w:p w14:paraId="56D21A38" w14:textId="77777777" w:rsidR="00C9315D" w:rsidRDefault="003261EC">
      <w:pPr>
        <w:spacing w:before="240" w:after="240" w:line="256" w:lineRule="auto"/>
        <w:ind w:left="720" w:hanging="720"/>
      </w:pPr>
      <w:r>
        <w:lastRenderedPageBreak/>
        <w:t xml:space="preserve">St. Pierre, R. G., &amp; Proper, E. C. (1978). Attrition: Identification and exploration in the national Follow Through evaluation. </w:t>
      </w:r>
      <w:r>
        <w:rPr>
          <w:i/>
          <w:iCs/>
        </w:rPr>
        <w:t>Evaluation Quarterly</w:t>
      </w:r>
      <w:r>
        <w:t xml:space="preserve">, </w:t>
      </w:r>
      <w:r>
        <w:rPr>
          <w:i/>
          <w:iCs/>
        </w:rPr>
        <w:t>2</w:t>
      </w:r>
      <w:r>
        <w:t>(1), 153-166.</w:t>
      </w:r>
    </w:p>
    <w:p w14:paraId="5544C580" w14:textId="77777777" w:rsidR="00C9315D" w:rsidRDefault="003261EC">
      <w:pPr>
        <w:spacing w:before="240" w:after="160" w:line="256" w:lineRule="auto"/>
        <w:ind w:left="720" w:hanging="720"/>
      </w:pPr>
      <w:r>
        <w:t xml:space="preserve">Stocké, V., &amp; Langfeldt, B. (2004). Effects of Survey Experience on Respondents’ Attitudes Towards Surveys. </w:t>
      </w:r>
      <w:r>
        <w:rPr>
          <w:i/>
          <w:iCs/>
        </w:rPr>
        <w:t>Bulletin de Methodologie Sociologique</w:t>
      </w:r>
      <w:r>
        <w:t xml:space="preserve"> 81: 5–32. https://doi.org/10.1177/075910630408100103</w:t>
      </w:r>
    </w:p>
    <w:p w14:paraId="4A5997EA" w14:textId="77777777" w:rsidR="00C9315D" w:rsidRDefault="003261EC">
      <w:pPr>
        <w:spacing w:before="240" w:after="160" w:line="256" w:lineRule="auto"/>
        <w:ind w:left="720" w:hanging="720"/>
      </w:pPr>
      <w:r>
        <w:t xml:space="preserve">Subar, A. F., Ziegler, R. G., Thompson, F. E., Johnson, C. C., Weissfeld, J. L., Reding, D., Kavounis, K. H., &amp; Hayes, R. B. (2001). Is shorter always better? Relative importance of questionnaire length and cognitive ease on response rates and data quality for two dietary questionnaires. </w:t>
      </w:r>
      <w:r>
        <w:rPr>
          <w:i/>
          <w:iCs/>
        </w:rPr>
        <w:t>American Journal of Epidemiology</w:t>
      </w:r>
      <w:r>
        <w:t xml:space="preserve">, 153(4), 404-409. </w:t>
      </w:r>
    </w:p>
    <w:p w14:paraId="6A25D2BB" w14:textId="77777777" w:rsidR="00C9315D" w:rsidRDefault="003261EC">
      <w:pPr>
        <w:spacing w:before="240" w:after="160" w:line="256" w:lineRule="auto"/>
        <w:ind w:left="720" w:hanging="720"/>
      </w:pPr>
      <w:r>
        <w:t xml:space="preserve">Teague, S., Youssef, G. J., Macdonald, J. A., Sciberras, E., Shatte, A., Fuller-Tyszkiewicz, M., Greenwood, C., McIntosh, J., Olsson, C. A., Hutchinson, D., &amp; SEED Lifecourse Science Theme (2018). Retention strategies in longitudinal cohort studies: A systematic review and meta-analysis. </w:t>
      </w:r>
      <w:r>
        <w:rPr>
          <w:i/>
          <w:iCs/>
        </w:rPr>
        <w:t>BMC Medical Research Methodology</w:t>
      </w:r>
      <w:r>
        <w:t>, 18(151). https://doi.org/10.1186/s12874-018-0586-7</w:t>
      </w:r>
    </w:p>
    <w:p w14:paraId="48125142" w14:textId="77777777" w:rsidR="00C9315D" w:rsidRDefault="003261EC">
      <w:pPr>
        <w:spacing w:before="240" w:after="160" w:line="256" w:lineRule="auto"/>
        <w:ind w:left="720" w:hanging="720"/>
      </w:pPr>
      <w:r>
        <w:t xml:space="preserve">Toepoel, V., &amp; Lugtig, P. (2018). Modularization in an Era of Mobile Web: Investigating the Effects of Cutting a Survey Into Smaller Pieces on Data Quality: Investigating the Effects of Cutting a Survey Into Smaller Pieces on Data Quality. </w:t>
      </w:r>
      <w:r>
        <w:rPr>
          <w:i/>
          <w:iCs/>
        </w:rPr>
        <w:t>Social Science Computer Review</w:t>
      </w:r>
      <w:r>
        <w:t xml:space="preserve">, </w:t>
      </w:r>
      <w:r>
        <w:rPr>
          <w:i/>
          <w:iCs/>
        </w:rPr>
        <w:t>40</w:t>
      </w:r>
      <w:r>
        <w:t xml:space="preserve">(1), 150-164. https://doi.org/10.1177/0894439318784882 </w:t>
      </w:r>
    </w:p>
    <w:p w14:paraId="01C43E73" w14:textId="77777777" w:rsidR="00C9315D" w:rsidRDefault="003261EC">
      <w:pPr>
        <w:spacing w:before="240" w:after="160" w:line="256" w:lineRule="auto"/>
        <w:ind w:left="720" w:hanging="720"/>
      </w:pPr>
      <w:r>
        <w:t xml:space="preserve">Trappmann, M., Gramlich, T., &amp; Mosthaf, A. (2015). The effect of events between waves on panel attrition. </w:t>
      </w:r>
      <w:r>
        <w:rPr>
          <w:i/>
          <w:iCs/>
        </w:rPr>
        <w:t>Survey Research Methods</w:t>
      </w:r>
      <w:r>
        <w:t>, 9(1).</w:t>
      </w:r>
    </w:p>
    <w:p w14:paraId="609C83B6" w14:textId="77777777" w:rsidR="00C9315D" w:rsidRDefault="003261EC">
      <w:pPr>
        <w:spacing w:before="240" w:after="160" w:line="256" w:lineRule="auto"/>
        <w:ind w:left="720" w:hanging="720"/>
      </w:pPr>
      <w:r>
        <w:t xml:space="preserve">Valliant, R., Dever, J. A., &amp; Kreuter, F. (2018). </w:t>
      </w:r>
      <w:r>
        <w:rPr>
          <w:i/>
          <w:iCs/>
        </w:rPr>
        <w:t>Practical Tools for Designing and Weighting Survey Samples</w:t>
      </w:r>
      <w:r>
        <w:t>. Springer.</w:t>
      </w:r>
    </w:p>
    <w:p w14:paraId="6F75D753" w14:textId="77777777" w:rsidR="00C9315D" w:rsidRDefault="003261EC">
      <w:pPr>
        <w:spacing w:after="160" w:line="256" w:lineRule="auto"/>
        <w:ind w:left="720" w:hanging="720"/>
        <w:rPr>
          <w:sz w:val="24"/>
          <w:szCs w:val="24"/>
        </w:rPr>
      </w:pPr>
      <w:r>
        <w:t xml:space="preserve">Vassallo, R., Durrant, G. B., Smith, P. W. F., &amp; Goldstein, H. (2015). Interviewer Effects on Non-Response Propensity in Longitudinal Surveys: A Multilevel Modelling Approach. </w:t>
      </w:r>
      <w:r>
        <w:rPr>
          <w:i/>
          <w:iCs/>
        </w:rPr>
        <w:t>Journal of the Royal Statistical Society Series A: Statistics in Society</w:t>
      </w:r>
      <w:r>
        <w:t xml:space="preserve">, </w:t>
      </w:r>
      <w:r>
        <w:rPr>
          <w:i/>
          <w:iCs/>
        </w:rPr>
        <w:t>178</w:t>
      </w:r>
      <w:r>
        <w:t>(1), 83–99. https://doi.org/10.1111/rssa.12049</w:t>
      </w:r>
    </w:p>
    <w:p w14:paraId="16D285D0" w14:textId="77777777" w:rsidR="00C9315D" w:rsidRDefault="003261EC">
      <w:pPr>
        <w:spacing w:before="240" w:after="160" w:line="256" w:lineRule="auto"/>
        <w:ind w:left="720" w:hanging="720"/>
      </w:pPr>
      <w:r>
        <w:t>Vine, J., Jäckle, A., Burton, J., &amp; Couper, M. P. (2025). Getting consent to survey in new ways: evidence from experiments about questions by text message in the Understanding Society Innovation Panel, Understanding Society Working Paper Series No. 2025-14, Colchester: University of Essex.</w:t>
      </w:r>
    </w:p>
    <w:p w14:paraId="25643D61" w14:textId="77777777" w:rsidR="00C9315D" w:rsidRDefault="003261EC">
      <w:pPr>
        <w:spacing w:before="240" w:after="160" w:line="256" w:lineRule="auto"/>
        <w:ind w:left="720" w:hanging="720"/>
      </w:pPr>
      <w:r>
        <w:t xml:space="preserve">Voorpostel, M. (2010). Attrition patterns in the Swiss household panel by demographic characteristics and social involvement. </w:t>
      </w:r>
      <w:r>
        <w:rPr>
          <w:i/>
          <w:iCs/>
        </w:rPr>
        <w:t>Swiss Journal of Sociology</w:t>
      </w:r>
      <w:r>
        <w:t>, 36(2), 359-377.</w:t>
      </w:r>
    </w:p>
    <w:p w14:paraId="11936A4A" w14:textId="77777777" w:rsidR="00C9315D" w:rsidRDefault="003261EC">
      <w:pPr>
        <w:spacing w:before="240" w:after="160" w:line="256" w:lineRule="auto"/>
        <w:ind w:left="720" w:hanging="720"/>
      </w:pPr>
      <w:r>
        <w:t xml:space="preserve">Wagner, J. (2010). The Fraction of Missing Information as a Tool for Monitoring the Quality of Survey Data. </w:t>
      </w:r>
      <w:r>
        <w:rPr>
          <w:i/>
          <w:iCs/>
        </w:rPr>
        <w:t>Public Opinion Quarterly</w:t>
      </w:r>
      <w:r>
        <w:t xml:space="preserve">, 74(2), 223-243. https://doi.org/10.1093/poq/nfq007 </w:t>
      </w:r>
    </w:p>
    <w:p w14:paraId="5F614743" w14:textId="77777777" w:rsidR="00C9315D" w:rsidRDefault="003261EC">
      <w:pPr>
        <w:spacing w:before="240" w:after="160" w:line="256" w:lineRule="auto"/>
        <w:ind w:left="720" w:hanging="720"/>
      </w:pPr>
      <w:r>
        <w:t xml:space="preserve">Wagner, J. (2012). A Comparison of Alternative Indicators for the Risk of Nonresponse Bias. </w:t>
      </w:r>
      <w:r>
        <w:rPr>
          <w:i/>
          <w:iCs/>
        </w:rPr>
        <w:t>Public Opinion Quarterly</w:t>
      </w:r>
      <w:r>
        <w:t xml:space="preserve">, 76(3), 555-575. https://doi.org/10.1093/poq/nfs032 </w:t>
      </w:r>
    </w:p>
    <w:p w14:paraId="31F7BFE4" w14:textId="77777777" w:rsidR="00C9315D" w:rsidRDefault="003261EC">
      <w:pPr>
        <w:spacing w:before="240" w:after="160" w:line="256" w:lineRule="auto"/>
        <w:ind w:left="720" w:hanging="720"/>
      </w:pPr>
      <w:r>
        <w:lastRenderedPageBreak/>
        <w:t xml:space="preserve">Wagner, J., Zhang, X., Elliott, M. R., West, B. T., &amp; Coffey, S. M. (2023). An experimental evaluation of a stopping rule aimed at maximizing cost-quality trade-offs in surveys. </w:t>
      </w:r>
      <w:r>
        <w:rPr>
          <w:i/>
          <w:iCs/>
        </w:rPr>
        <w:t>Journal of the Royal Statistical Society Series A: Statistics in Society</w:t>
      </w:r>
      <w:r>
        <w:t xml:space="preserve">, 186(4), 788-810. https://doi.org/10.1093/jrsssa/qnad059 </w:t>
      </w:r>
    </w:p>
    <w:p w14:paraId="08894C8C" w14:textId="77777777" w:rsidR="00C9315D" w:rsidRDefault="003261EC">
      <w:pPr>
        <w:spacing w:before="240" w:after="160" w:line="256" w:lineRule="auto"/>
        <w:ind w:left="720"/>
      </w:pPr>
      <w:r>
        <w:t xml:space="preserve">Warriner, K., Goyder, J., Gjertsen, H., Hohner, P., &amp; Mc-Spurren, K. (1996). Charities, no; lotteries, no; cash, yes: main effects and interactions in a Canadian incentives experiment. </w:t>
      </w:r>
      <w:r>
        <w:rPr>
          <w:i/>
          <w:iCs/>
        </w:rPr>
        <w:t>Public Opinion Quarterly</w:t>
      </w:r>
      <w:r>
        <w:t>, 60(4), 542–562. https://doi.org/10.1086/297772</w:t>
      </w:r>
    </w:p>
    <w:p w14:paraId="164A4B9D" w14:textId="77777777" w:rsidR="00C9315D" w:rsidRDefault="003261EC">
      <w:pPr>
        <w:spacing w:before="240" w:after="160" w:line="256" w:lineRule="auto"/>
        <w:ind w:left="720" w:hanging="720"/>
      </w:pPr>
      <w:r>
        <w:t>Watson, N., &amp; Wooden, M. (2019). Chasing hard-to-get cases in panel surveys: is it worth it? Methods, data, analyses: a journal for quantitative methods and survey methodology (mda), 13(2), 199-222.</w:t>
      </w:r>
    </w:p>
    <w:p w14:paraId="3B4374B7" w14:textId="77777777" w:rsidR="00C9315D" w:rsidRDefault="003261EC">
      <w:pPr>
        <w:spacing w:before="240" w:after="160" w:line="256" w:lineRule="auto"/>
        <w:ind w:left="720" w:hanging="720"/>
      </w:pPr>
      <w:r>
        <w:t xml:space="preserve">Weir, David, Jessica Faul, and Kenneth Langa (2011). Proxy interviews and bias in the distribution of cognitive abilities due to non-response in longitudinal studies: a comparison of HRS and ELSA. </w:t>
      </w:r>
      <w:r>
        <w:rPr>
          <w:i/>
          <w:iCs/>
        </w:rPr>
        <w:t xml:space="preserve">Longitudinal and Life Course Studies </w:t>
      </w:r>
      <w:r>
        <w:t xml:space="preserve">2011 Volume 2 Issue 2 pp 170 - 184 </w:t>
      </w:r>
    </w:p>
    <w:p w14:paraId="25E1708A" w14:textId="77777777" w:rsidR="00C9315D" w:rsidRDefault="003261EC">
      <w:pPr>
        <w:spacing w:before="240" w:after="160" w:line="256" w:lineRule="auto"/>
        <w:ind w:left="720" w:hanging="720"/>
      </w:pPr>
      <w:r>
        <w:t>Wright, Debra L., Matthew Sloan, Kirsten A. Barrett, and Gina A. Livermore (2007). Quality of Self and Proxy Responses on a National Survey of Persons with Disabilities.‖ Paper presented at the American Association for Public Opinion Research Annual Conference, Anaheim, CA, 2007.</w:t>
      </w:r>
    </w:p>
    <w:p w14:paraId="54A732BA" w14:textId="77777777" w:rsidR="00C9315D" w:rsidRDefault="003261EC">
      <w:pPr>
        <w:spacing w:before="240" w:after="160" w:line="256" w:lineRule="auto"/>
        <w:ind w:left="720" w:hanging="720"/>
      </w:pPr>
      <w:r>
        <w:t>Yan, T. (2025). The Combined Effects of Prior-Wave Item Nonresponse and Perceived Burden on Subsequent-Wave Nonresponse in a Longitudinal Survey. Invited paper presented at the 2025 Joint Statistical Meeting.</w:t>
      </w:r>
    </w:p>
    <w:p w14:paraId="2D51E62F" w14:textId="77777777" w:rsidR="00C9315D" w:rsidRDefault="003261EC">
      <w:pPr>
        <w:spacing w:before="240" w:after="160" w:line="256" w:lineRule="auto"/>
        <w:ind w:left="720" w:hanging="720"/>
      </w:pPr>
      <w:r>
        <w:t>Yan, T., &amp; Curtin R. (2010). The Relation Between Unit Nonresponse and Item Nonresponse: A Response Continuum Perspective.</w:t>
      </w:r>
      <w:r>
        <w:rPr>
          <w:i/>
          <w:iCs/>
        </w:rPr>
        <w:t xml:space="preserve"> International Journal of Public Opinion Research</w:t>
      </w:r>
      <w:r>
        <w:t>, 22:535–551. https://doi.org/10.1093/ijpor/edq037.</w:t>
      </w:r>
    </w:p>
    <w:p w14:paraId="39F86008" w14:textId="77777777" w:rsidR="00C9315D" w:rsidRDefault="003261EC">
      <w:pPr>
        <w:spacing w:before="240" w:after="160" w:line="256" w:lineRule="auto"/>
        <w:ind w:left="720" w:hanging="720"/>
      </w:pPr>
      <w:r>
        <w:t xml:space="preserve">Yan, T., &amp; Williams, D. (2022). Response Burden – Review and Conceptual Framework. </w:t>
      </w:r>
      <w:r>
        <w:rPr>
          <w:i/>
          <w:iCs/>
        </w:rPr>
        <w:t>Journal of Official Statistics</w:t>
      </w:r>
      <w:r>
        <w:t>, 38(4), 939–961, http://dx.doi.org/10.2478/JOS-2022-0041</w:t>
      </w:r>
    </w:p>
    <w:p w14:paraId="0888ED46" w14:textId="77777777" w:rsidR="00C9315D" w:rsidRDefault="003261EC">
      <w:pPr>
        <w:spacing w:before="240" w:after="160" w:line="256" w:lineRule="auto"/>
        <w:ind w:left="720" w:hanging="720"/>
      </w:pPr>
      <w:r>
        <w:t xml:space="preserve">Yan, T., Fricker, S., &amp; Tsai, S. (2020). Response Burden: What is It and What Predicts It? In: P. Beatty, D. Collins, L. Kaye, J. Padilla, G. Willis, and A. Wilmot (eds.). </w:t>
      </w:r>
      <w:r>
        <w:rPr>
          <w:i/>
          <w:iCs/>
        </w:rPr>
        <w:t>Advances in Questionnaire Design, Development, Evaluation and Testing</w:t>
      </w:r>
      <w:r>
        <w:t xml:space="preserve"> (pp. 193-212). Wiley.</w:t>
      </w:r>
    </w:p>
    <w:p w14:paraId="08034C28" w14:textId="77777777" w:rsidR="00C9315D" w:rsidRDefault="003261EC">
      <w:pPr>
        <w:spacing w:before="240" w:after="160" w:line="256" w:lineRule="auto"/>
        <w:ind w:left="720" w:hanging="720"/>
      </w:pPr>
      <w:r>
        <w:t xml:space="preserve">Zabel, J. E. (1998). An analysis of attrition in the Panel Study of Income Dynamics and the Survey of Income and Program Participation with an application to a model of labor market behavior. </w:t>
      </w:r>
      <w:r>
        <w:rPr>
          <w:i/>
          <w:iCs/>
        </w:rPr>
        <w:t>Journal of Human Resources</w:t>
      </w:r>
      <w:r>
        <w:t>, 33(2), 479-506. https://doi.org/10.2307/146438</w:t>
      </w:r>
    </w:p>
    <w:p w14:paraId="018D5714" w14:textId="77777777" w:rsidR="00C9315D" w:rsidRDefault="003261EC">
      <w:pPr>
        <w:spacing w:before="240" w:after="160" w:line="256" w:lineRule="auto"/>
        <w:ind w:left="720" w:hanging="720"/>
      </w:pPr>
      <w:r>
        <w:t xml:space="preserve">Zhang Y., Rong J., Wang X., Schramm E., Pathiravasan C., Borrelli B., Faro J., Benjamin E., Trinquart L., Liu C., &amp; Murabito J. (2025). Smartphone app-based survey deployment patterns and longitudinal response rate: Randomized controlled trial. </w:t>
      </w:r>
      <w:r>
        <w:rPr>
          <w:i/>
          <w:iCs/>
        </w:rPr>
        <w:t xml:space="preserve">Journal of Medical Internet Research </w:t>
      </w:r>
      <w:r>
        <w:t>27:e73972. https://www.jmir.org/2025/1/e73972</w:t>
      </w:r>
    </w:p>
    <w:p w14:paraId="265244C0" w14:textId="77777777" w:rsidR="00C9315D" w:rsidRDefault="00C9315D">
      <w:pPr>
        <w:spacing w:after="160" w:line="259" w:lineRule="auto"/>
      </w:pPr>
    </w:p>
    <w:p w14:paraId="3D245337" w14:textId="77777777" w:rsidR="00C9315D" w:rsidRDefault="00C9315D"/>
    <w:sectPr w:rsidR="00C9315D">
      <w:headerReference w:type="default" r:id="rId14"/>
      <w:footerReference w:type="default" r:id="rId1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FC6AC8" w14:textId="77777777" w:rsidR="003261EC" w:rsidRDefault="003261EC">
      <w:pPr>
        <w:spacing w:line="240" w:lineRule="auto"/>
      </w:pPr>
      <w:r>
        <w:separator/>
      </w:r>
    </w:p>
  </w:endnote>
  <w:endnote w:type="continuationSeparator" w:id="0">
    <w:p w14:paraId="6D2271A7" w14:textId="77777777" w:rsidR="003261EC" w:rsidRDefault="003261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005B5D29-6195-4B36-81A7-5654B40B7A24}"/>
  </w:font>
  <w:font w:name="Cambria">
    <w:panose1 w:val="02040503050406030204"/>
    <w:charset w:val="00"/>
    <w:family w:val="roman"/>
    <w:pitch w:val="variable"/>
    <w:sig w:usb0="E00006FF" w:usb1="420024FF" w:usb2="02000000" w:usb3="00000000" w:csb0="0000019F" w:csb1="00000000"/>
    <w:embedRegular r:id="rId2" w:fontKey="{35458E56-8FE5-4A5B-B461-0A12C8F29BC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CABF4" w14:textId="77777777" w:rsidR="00C9315D" w:rsidRDefault="003261EC">
    <w:pPr>
      <w:jc w:val="center"/>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12D42A" w14:textId="77777777" w:rsidR="003261EC" w:rsidRDefault="003261EC">
      <w:pPr>
        <w:spacing w:line="240" w:lineRule="auto"/>
      </w:pPr>
      <w:r>
        <w:separator/>
      </w:r>
    </w:p>
  </w:footnote>
  <w:footnote w:type="continuationSeparator" w:id="0">
    <w:p w14:paraId="5F3F6533" w14:textId="77777777" w:rsidR="003261EC" w:rsidRDefault="003261EC">
      <w:pPr>
        <w:spacing w:line="240" w:lineRule="auto"/>
      </w:pPr>
      <w:r>
        <w:continuationSeparator/>
      </w:r>
    </w:p>
  </w:footnote>
  <w:footnote w:id="1">
    <w:p w14:paraId="2A15BC14" w14:textId="77777777" w:rsidR="00C9315D" w:rsidRDefault="003261EC">
      <w:pPr>
        <w:spacing w:line="240" w:lineRule="auto"/>
        <w:rPr>
          <w:sz w:val="20"/>
          <w:szCs w:val="20"/>
        </w:rPr>
      </w:pPr>
      <w:r>
        <w:rPr>
          <w:vertAlign w:val="superscript"/>
        </w:rPr>
        <w:footnoteRef/>
      </w:r>
      <w:r>
        <w:rPr>
          <w:color w:val="222222"/>
        </w:rPr>
        <w:t>https://www.icpsr.umich.edu/web/ICPSR/studies/8092/versions/V4</w:t>
      </w:r>
    </w:p>
  </w:footnote>
  <w:footnote w:id="2">
    <w:p w14:paraId="1EDD0F14" w14:textId="77777777" w:rsidR="00C9315D" w:rsidRDefault="003261EC">
      <w:pPr>
        <w:spacing w:line="240" w:lineRule="auto"/>
        <w:rPr>
          <w:sz w:val="20"/>
          <w:szCs w:val="20"/>
        </w:rPr>
      </w:pPr>
      <w:r>
        <w:rPr>
          <w:vertAlign w:val="superscript"/>
        </w:rPr>
        <w:footnoteRef/>
      </w:r>
      <w:r>
        <w:rPr>
          <w:color w:val="222222"/>
        </w:rPr>
        <w:t>https://www.adultdevelopmentstudy.org/</w:t>
      </w:r>
    </w:p>
  </w:footnote>
  <w:footnote w:id="3">
    <w:p w14:paraId="21983481" w14:textId="77777777" w:rsidR="00C9315D" w:rsidRDefault="003261EC">
      <w:pPr>
        <w:spacing w:line="240" w:lineRule="auto"/>
        <w:rPr>
          <w:sz w:val="20"/>
          <w:szCs w:val="20"/>
        </w:rPr>
      </w:pPr>
      <w:r>
        <w:rPr>
          <w:vertAlign w:val="superscript"/>
        </w:rPr>
        <w:footnoteRef/>
      </w:r>
      <w:r>
        <w:rPr>
          <w:color w:val="222222"/>
        </w:rPr>
        <w:t>https://www.framinghamheartstudy.org/</w:t>
      </w:r>
    </w:p>
  </w:footnote>
  <w:footnote w:id="4">
    <w:p w14:paraId="67230237" w14:textId="77777777" w:rsidR="00C9315D" w:rsidRDefault="003261EC">
      <w:pPr>
        <w:spacing w:line="240" w:lineRule="auto"/>
        <w:rPr>
          <w:sz w:val="20"/>
          <w:szCs w:val="20"/>
        </w:rPr>
      </w:pPr>
      <w:r>
        <w:rPr>
          <w:vertAlign w:val="superscript"/>
        </w:rPr>
        <w:footnoteRef/>
      </w:r>
      <w:hyperlink r:id="rId1">
        <w:r>
          <w:rPr>
            <w:color w:val="1155CC"/>
            <w:u w:val="single"/>
          </w:rPr>
          <w:t>https://pathstudy.nih.gov/</w:t>
        </w:r>
      </w:hyperlink>
      <w:r>
        <w:rPr>
          <w:sz w:val="20"/>
          <w:szCs w:val="20"/>
        </w:rPr>
        <w:t xml:space="preserve"> </w:t>
      </w:r>
    </w:p>
  </w:footnote>
  <w:footnote w:id="5">
    <w:p w14:paraId="4518F184" w14:textId="77777777" w:rsidR="00C9315D" w:rsidRDefault="003261EC">
      <w:pPr>
        <w:pBdr>
          <w:top w:val="nil"/>
          <w:left w:val="nil"/>
          <w:bottom w:val="nil"/>
          <w:right w:val="nil"/>
          <w:between w:val="nil"/>
        </w:pBdr>
        <w:spacing w:line="240" w:lineRule="auto"/>
        <w:rPr>
          <w:color w:val="1155CC"/>
          <w:u w:val="single"/>
        </w:rPr>
      </w:pPr>
      <w:r>
        <w:rPr>
          <w:vertAlign w:val="superscript"/>
        </w:rPr>
        <w:footnoteRef/>
      </w:r>
      <w:hyperlink r:id="rId2">
        <w:r>
          <w:rPr>
            <w:color w:val="1155CC"/>
            <w:u w:val="single"/>
          </w:rPr>
          <w:t>https://addhealth.cpc.unc.edu</w:t>
        </w:r>
      </w:hyperlink>
    </w:p>
  </w:footnote>
  <w:footnote w:id="6">
    <w:p w14:paraId="68F62041" w14:textId="77777777" w:rsidR="00C9315D" w:rsidRDefault="003261EC">
      <w:pPr>
        <w:spacing w:line="240" w:lineRule="auto"/>
        <w:rPr>
          <w:sz w:val="20"/>
          <w:szCs w:val="20"/>
        </w:rPr>
      </w:pPr>
      <w:r>
        <w:rPr>
          <w:vertAlign w:val="superscript"/>
        </w:rPr>
        <w:footnoteRef/>
      </w:r>
      <w:hyperlink r:id="rId3">
        <w:r>
          <w:rPr>
            <w:color w:val="1155CC"/>
            <w:u w:val="single"/>
          </w:rPr>
          <w:t>https://meps.ahrq.gov/survey_comp/household.jsp</w:t>
        </w:r>
      </w:hyperlink>
    </w:p>
  </w:footnote>
  <w:footnote w:id="7">
    <w:p w14:paraId="45404C82" w14:textId="77777777" w:rsidR="00C9315D" w:rsidRDefault="003261EC">
      <w:pPr>
        <w:spacing w:line="240" w:lineRule="auto"/>
        <w:rPr>
          <w:sz w:val="20"/>
          <w:szCs w:val="20"/>
        </w:rPr>
      </w:pPr>
      <w:r>
        <w:rPr>
          <w:vertAlign w:val="superscript"/>
        </w:rPr>
        <w:footnoteRef/>
      </w:r>
      <w:hyperlink r:id="rId4">
        <w:r>
          <w:rPr>
            <w:color w:val="1155CC"/>
            <w:u w:val="single"/>
          </w:rPr>
          <w:t>https://www.understandingsociety.ac.uk/</w:t>
        </w:r>
      </w:hyperlink>
    </w:p>
  </w:footnote>
  <w:footnote w:id="8">
    <w:p w14:paraId="4EC3EA79" w14:textId="77777777" w:rsidR="00C9315D" w:rsidRDefault="003261EC">
      <w:pPr>
        <w:spacing w:line="240" w:lineRule="auto"/>
        <w:rPr>
          <w:sz w:val="20"/>
          <w:szCs w:val="20"/>
        </w:rPr>
      </w:pPr>
      <w:r>
        <w:rPr>
          <w:vertAlign w:val="superscript"/>
        </w:rPr>
        <w:footnoteRef/>
      </w:r>
      <w:hyperlink r:id="rId5">
        <w:r>
          <w:rPr>
            <w:color w:val="1155CC"/>
            <w:u w:val="single"/>
          </w:rPr>
          <w:t>https://www.norc.org/content/dam/norc-org/pdf2024/nshap-rounds-explanation.pdf</w:t>
        </w:r>
      </w:hyperlink>
      <w:r>
        <w:rPr>
          <w:sz w:val="20"/>
          <w:szCs w:val="20"/>
        </w:rPr>
        <w:t xml:space="preserve"> </w:t>
      </w:r>
    </w:p>
  </w:footnote>
  <w:footnote w:id="9">
    <w:p w14:paraId="4D06F63A" w14:textId="77777777" w:rsidR="00C9315D" w:rsidRDefault="003261EC">
      <w:pPr>
        <w:spacing w:line="240" w:lineRule="auto"/>
        <w:rPr>
          <w:sz w:val="20"/>
          <w:szCs w:val="20"/>
        </w:rPr>
      </w:pPr>
      <w:r>
        <w:rPr>
          <w:vertAlign w:val="superscript"/>
        </w:rPr>
        <w:footnoteRef/>
      </w:r>
      <w:hyperlink r:id="rId6">
        <w:r>
          <w:rPr>
            <w:color w:val="1155CC"/>
            <w:u w:val="single"/>
          </w:rPr>
          <w:t>https://addhealth.cpc.unc.edu/wp-content/uploads/docs/user_guides/WaveVISamplingMixedModeSurveyUserGuide.pdf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5A952" w14:textId="77777777" w:rsidR="00C9315D" w:rsidRDefault="00C9315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E12E1"/>
    <w:multiLevelType w:val="multilevel"/>
    <w:tmpl w:val="114E2F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19942A0"/>
    <w:multiLevelType w:val="multilevel"/>
    <w:tmpl w:val="58EE39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79C7CF0"/>
    <w:multiLevelType w:val="multilevel"/>
    <w:tmpl w:val="A31CDA1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1AA2633C"/>
    <w:multiLevelType w:val="multilevel"/>
    <w:tmpl w:val="A3D49A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0183F9B"/>
    <w:multiLevelType w:val="multilevel"/>
    <w:tmpl w:val="D20218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B3818D1"/>
    <w:multiLevelType w:val="multilevel"/>
    <w:tmpl w:val="7BF4D0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3D7D266B"/>
    <w:multiLevelType w:val="multilevel"/>
    <w:tmpl w:val="FBCEA1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0F23DF9"/>
    <w:multiLevelType w:val="multilevel"/>
    <w:tmpl w:val="998406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1C7352C"/>
    <w:multiLevelType w:val="multilevel"/>
    <w:tmpl w:val="43FECB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473070B"/>
    <w:multiLevelType w:val="multilevel"/>
    <w:tmpl w:val="9D8CA9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8CB36B1"/>
    <w:multiLevelType w:val="multilevel"/>
    <w:tmpl w:val="DC80CC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E4B356F"/>
    <w:multiLevelType w:val="multilevel"/>
    <w:tmpl w:val="5BD20460"/>
    <w:lvl w:ilvl="0">
      <w:start w:val="2"/>
      <w:numFmt w:val="bullet"/>
      <w:lvlText w:val="●"/>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2" w15:restartNumberingAfterBreak="0">
    <w:nsid w:val="60CA7F69"/>
    <w:multiLevelType w:val="multilevel"/>
    <w:tmpl w:val="88602A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140307F"/>
    <w:multiLevelType w:val="multilevel"/>
    <w:tmpl w:val="76FC29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2EE02F3"/>
    <w:multiLevelType w:val="multilevel"/>
    <w:tmpl w:val="98E2AF6A"/>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15" w15:restartNumberingAfterBreak="0">
    <w:nsid w:val="72654BB7"/>
    <w:multiLevelType w:val="multilevel"/>
    <w:tmpl w:val="F09A04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73961346"/>
    <w:multiLevelType w:val="multilevel"/>
    <w:tmpl w:val="210873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5337D24"/>
    <w:multiLevelType w:val="multilevel"/>
    <w:tmpl w:val="54A24B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8553094"/>
    <w:multiLevelType w:val="multilevel"/>
    <w:tmpl w:val="ABA6A56C"/>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16cid:durableId="1020546308">
    <w:abstractNumId w:val="9"/>
  </w:num>
  <w:num w:numId="2" w16cid:durableId="1105417499">
    <w:abstractNumId w:val="15"/>
  </w:num>
  <w:num w:numId="3" w16cid:durableId="834297151">
    <w:abstractNumId w:val="4"/>
  </w:num>
  <w:num w:numId="4" w16cid:durableId="34430707">
    <w:abstractNumId w:val="16"/>
  </w:num>
  <w:num w:numId="5" w16cid:durableId="1711880510">
    <w:abstractNumId w:val="11"/>
  </w:num>
  <w:num w:numId="6" w16cid:durableId="178011323">
    <w:abstractNumId w:val="3"/>
  </w:num>
  <w:num w:numId="7" w16cid:durableId="1776242601">
    <w:abstractNumId w:val="14"/>
  </w:num>
  <w:num w:numId="8" w16cid:durableId="1386487794">
    <w:abstractNumId w:val="8"/>
  </w:num>
  <w:num w:numId="9" w16cid:durableId="491722175">
    <w:abstractNumId w:val="17"/>
  </w:num>
  <w:num w:numId="10" w16cid:durableId="456949529">
    <w:abstractNumId w:val="10"/>
  </w:num>
  <w:num w:numId="11" w16cid:durableId="57367815">
    <w:abstractNumId w:val="18"/>
  </w:num>
  <w:num w:numId="12" w16cid:durableId="1083838115">
    <w:abstractNumId w:val="1"/>
  </w:num>
  <w:num w:numId="13" w16cid:durableId="1541283745">
    <w:abstractNumId w:val="2"/>
  </w:num>
  <w:num w:numId="14" w16cid:durableId="891573562">
    <w:abstractNumId w:val="0"/>
  </w:num>
  <w:num w:numId="15" w16cid:durableId="853498372">
    <w:abstractNumId w:val="13"/>
  </w:num>
  <w:num w:numId="16" w16cid:durableId="892235409">
    <w:abstractNumId w:val="7"/>
  </w:num>
  <w:num w:numId="17" w16cid:durableId="700323692">
    <w:abstractNumId w:val="12"/>
  </w:num>
  <w:num w:numId="18" w16cid:durableId="1914192230">
    <w:abstractNumId w:val="5"/>
  </w:num>
  <w:num w:numId="19" w16cid:durableId="156352418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15D"/>
    <w:rsid w:val="003261EC"/>
    <w:rsid w:val="004638EF"/>
    <w:rsid w:val="00855DE4"/>
    <w:rsid w:val="008C6D4A"/>
    <w:rsid w:val="00B33A65"/>
    <w:rsid w:val="00B42254"/>
    <w:rsid w:val="00C9315D"/>
    <w:rsid w:val="00E733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FEC1B"/>
  <w15:docId w15:val="{DCF9C6FC-9A83-4D2E-A4DB-5CF553852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doi.org/10.5281/zenodo.14039053" TargetMode="External"/><Relationship Id="rId13" Type="http://schemas.openxmlformats.org/officeDocument/2006/relationships/hyperlink" Target="https://dx.doi.org/10.7302/26882" TargetMode="External"/><Relationship Id="rId3" Type="http://schemas.openxmlformats.org/officeDocument/2006/relationships/settings" Target="settings.xml"/><Relationship Id="rId7" Type="http://schemas.openxmlformats.org/officeDocument/2006/relationships/hyperlink" Target="https://doi.org/10.5281/zenodo.14039053" TargetMode="External"/><Relationship Id="rId12" Type="http://schemas.openxmlformats.org/officeDocument/2006/relationships/hyperlink" Target="https://doi.org/10.1093/jssam/smu015"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2478/jos-2022-0041"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doi.org/10.18148/srm/2014.v8i2.5391" TargetMode="External"/><Relationship Id="rId4" Type="http://schemas.openxmlformats.org/officeDocument/2006/relationships/webSettings" Target="webSettings.xml"/><Relationship Id="rId9" Type="http://schemas.openxmlformats.org/officeDocument/2006/relationships/hyperlink" Target="https://surveyinsights.org/?p=12720"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notes.xml.rels><?xml version="1.0" encoding="UTF-8" standalone="yes"?>
<Relationships xmlns="http://schemas.openxmlformats.org/package/2006/relationships"><Relationship Id="rId3" Type="http://schemas.openxmlformats.org/officeDocument/2006/relationships/hyperlink" Target="https://meps.ahrq.gov/survey_comp/household.jsp" TargetMode="External"/><Relationship Id="rId2" Type="http://schemas.openxmlformats.org/officeDocument/2006/relationships/hyperlink" Target="https://addhealth.cpc.unc.edu" TargetMode="External"/><Relationship Id="rId1" Type="http://schemas.openxmlformats.org/officeDocument/2006/relationships/hyperlink" Target="https://pathstudy.nih.gov/" TargetMode="External"/><Relationship Id="rId6" Type="http://schemas.openxmlformats.org/officeDocument/2006/relationships/hyperlink" Target="https://addhealth.cpc.unc.edu/wp-content/uploads/docs/user_guides/WaveVISamplingMixedModeSurveyUserGuide.pdf" TargetMode="External"/><Relationship Id="rId5" Type="http://schemas.openxmlformats.org/officeDocument/2006/relationships/hyperlink" Target="https://www.norc.org/content/dam/norc-org/pdf2024/nshap-rounds-explanation.pdf" TargetMode="External"/><Relationship Id="rId4" Type="http://schemas.openxmlformats.org/officeDocument/2006/relationships/hyperlink" Target="https://www.understandingsociety.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46</Pages>
  <Words>19870</Words>
  <Characters>113265</Characters>
  <Application>Microsoft Office Word</Application>
  <DocSecurity>0</DocSecurity>
  <Lines>943</Lines>
  <Paragraphs>265</Paragraphs>
  <ScaleCrop>false</ScaleCrop>
  <Company>University of Michigan</Company>
  <LinksUpToDate>false</LinksUpToDate>
  <CharactersWithSpaces>132870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Brady West</cp:lastModifiedBy>
  <cp:revision>5</cp:revision>
  <dcterms:created xsi:type="dcterms:W3CDTF">2026-07-23T18:03:00Z</dcterms:created>
  <dcterms:modified xsi:type="dcterms:W3CDTF">2026-07-24T15:14:00Z</dcterms:modified>
</cp:coreProperties>
</file>